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7F70627F" w:rsidR="008A22CF" w:rsidRPr="007134C2" w:rsidRDefault="008A22CF" w:rsidP="008A22CF">
      <w:pPr>
        <w:pStyle w:val="3GPPHeader"/>
        <w:spacing w:after="60"/>
        <w:rPr>
          <w:sz w:val="32"/>
          <w:szCs w:val="32"/>
          <w:highlight w:val="yellow"/>
        </w:rPr>
      </w:pPr>
      <w:bookmarkStart w:id="0" w:name="_Hlk487029736"/>
      <w:bookmarkEnd w:id="0"/>
      <w:r w:rsidRPr="007134C2">
        <w:t>3GPP TSG-RAN WG4</w:t>
      </w:r>
      <w:r w:rsidR="001D4850" w:rsidRPr="007134C2">
        <w:t xml:space="preserve"> Meeting</w:t>
      </w:r>
      <w:r w:rsidR="005071CC" w:rsidRPr="007134C2">
        <w:t xml:space="preserve"> </w:t>
      </w:r>
      <w:r w:rsidR="0063178D" w:rsidRPr="007134C2">
        <w:t>AH1807</w:t>
      </w:r>
      <w:r w:rsidRPr="007134C2">
        <w:tab/>
      </w:r>
      <w:r w:rsidRPr="007134C2">
        <w:rPr>
          <w:szCs w:val="24"/>
        </w:rPr>
        <w:t>R4-1</w:t>
      </w:r>
      <w:r w:rsidR="00437BE8" w:rsidRPr="007134C2">
        <w:rPr>
          <w:szCs w:val="24"/>
        </w:rPr>
        <w:t>8</w:t>
      </w:r>
      <w:r w:rsidR="001D6830" w:rsidRPr="007134C2">
        <w:rPr>
          <w:szCs w:val="24"/>
        </w:rPr>
        <w:t>0</w:t>
      </w:r>
      <w:r w:rsidR="006F21C8">
        <w:rPr>
          <w:szCs w:val="24"/>
        </w:rPr>
        <w:t>8801</w:t>
      </w:r>
    </w:p>
    <w:p w14:paraId="5E5109E4" w14:textId="08A7F2DB" w:rsidR="008A22CF" w:rsidRPr="007134C2" w:rsidRDefault="0063178D" w:rsidP="008A22CF">
      <w:pPr>
        <w:pStyle w:val="3GPPHeader"/>
      </w:pPr>
      <w:bookmarkStart w:id="1" w:name="OLE_LINK3"/>
      <w:bookmarkStart w:id="2" w:name="OLE_LINK4"/>
      <w:r w:rsidRPr="007134C2">
        <w:t>Montreal</w:t>
      </w:r>
      <w:r w:rsidR="00125DD0" w:rsidRPr="007134C2">
        <w:t>,</w:t>
      </w:r>
      <w:r w:rsidR="0057693F" w:rsidRPr="007134C2">
        <w:t xml:space="preserve"> </w:t>
      </w:r>
      <w:r w:rsidRPr="007134C2">
        <w:t>Canada</w:t>
      </w:r>
      <w:r w:rsidR="00437BE8" w:rsidRPr="007134C2">
        <w:t xml:space="preserve">, </w:t>
      </w:r>
      <w:r w:rsidRPr="007134C2">
        <w:t>2</w:t>
      </w:r>
      <w:r w:rsidR="00B96374" w:rsidRPr="007134C2">
        <w:t xml:space="preserve"> </w:t>
      </w:r>
      <w:r w:rsidR="00126E1B" w:rsidRPr="007134C2">
        <w:t xml:space="preserve">– </w:t>
      </w:r>
      <w:r w:rsidRPr="007134C2">
        <w:t>6</w:t>
      </w:r>
      <w:r w:rsidR="00126E1B" w:rsidRPr="007134C2">
        <w:t xml:space="preserve"> </w:t>
      </w:r>
      <w:r w:rsidRPr="007134C2">
        <w:t>July</w:t>
      </w:r>
      <w:r w:rsidR="00126E1B" w:rsidRPr="007134C2">
        <w:t xml:space="preserve"> 201</w:t>
      </w:r>
      <w:r w:rsidR="00437BE8" w:rsidRPr="007134C2">
        <w:t>8</w:t>
      </w:r>
    </w:p>
    <w:bookmarkEnd w:id="1"/>
    <w:bookmarkEnd w:id="2"/>
    <w:p w14:paraId="65F55581" w14:textId="77777777" w:rsidR="008A22CF" w:rsidRPr="007134C2" w:rsidRDefault="008A22CF" w:rsidP="008A22CF">
      <w:pPr>
        <w:pStyle w:val="3GPPHeader"/>
      </w:pPr>
    </w:p>
    <w:p w14:paraId="0FDE225D" w14:textId="30EE9395" w:rsidR="008A22CF" w:rsidRPr="007134C2" w:rsidRDefault="008A22CF" w:rsidP="008A22CF">
      <w:pPr>
        <w:pStyle w:val="3GPPHeader"/>
        <w:rPr>
          <w:sz w:val="22"/>
        </w:rPr>
      </w:pPr>
      <w:r w:rsidRPr="007134C2">
        <w:rPr>
          <w:sz w:val="22"/>
        </w:rPr>
        <w:t>Agenda Item:</w:t>
      </w:r>
      <w:r w:rsidRPr="007134C2">
        <w:rPr>
          <w:sz w:val="22"/>
        </w:rPr>
        <w:tab/>
      </w:r>
      <w:r w:rsidR="004D64E0">
        <w:rPr>
          <w:sz w:val="22"/>
        </w:rPr>
        <w:t>5.3.3.2</w:t>
      </w:r>
    </w:p>
    <w:p w14:paraId="57D8FDDC" w14:textId="59E8C7E0" w:rsidR="008A22CF" w:rsidRPr="007134C2" w:rsidRDefault="008A22CF" w:rsidP="008A22CF">
      <w:pPr>
        <w:pStyle w:val="3GPPHeader"/>
        <w:rPr>
          <w:sz w:val="22"/>
        </w:rPr>
      </w:pPr>
      <w:r w:rsidRPr="007134C2">
        <w:rPr>
          <w:sz w:val="22"/>
        </w:rPr>
        <w:t>Source:</w:t>
      </w:r>
      <w:r w:rsidRPr="007134C2">
        <w:rPr>
          <w:sz w:val="22"/>
        </w:rPr>
        <w:tab/>
        <w:t>Ericsson</w:t>
      </w:r>
    </w:p>
    <w:p w14:paraId="3A8FC3FA" w14:textId="64C838F7" w:rsidR="008A22CF" w:rsidRPr="007134C2" w:rsidRDefault="008A22CF" w:rsidP="008A22CF">
      <w:pPr>
        <w:pStyle w:val="3GPPHeader"/>
        <w:rPr>
          <w:sz w:val="22"/>
        </w:rPr>
      </w:pPr>
      <w:r w:rsidRPr="007134C2">
        <w:rPr>
          <w:sz w:val="22"/>
        </w:rPr>
        <w:t>Title:</w:t>
      </w:r>
      <w:r w:rsidRPr="007134C2">
        <w:rPr>
          <w:sz w:val="22"/>
        </w:rPr>
        <w:tab/>
      </w:r>
      <w:r w:rsidR="004D64E0" w:rsidRPr="004D64E0">
        <w:rPr>
          <w:sz w:val="22"/>
        </w:rPr>
        <w:t>Downlink power allocation for RRM performance</w:t>
      </w:r>
    </w:p>
    <w:p w14:paraId="385E2C9B" w14:textId="3A8A0A42" w:rsidR="008A22CF" w:rsidRPr="007134C2" w:rsidRDefault="008A22CF" w:rsidP="008A22CF">
      <w:pPr>
        <w:pStyle w:val="3GPPHeader"/>
        <w:rPr>
          <w:sz w:val="22"/>
        </w:rPr>
      </w:pPr>
      <w:r w:rsidRPr="007134C2">
        <w:rPr>
          <w:sz w:val="22"/>
        </w:rPr>
        <w:t>Document for:</w:t>
      </w:r>
      <w:r w:rsidRPr="007134C2">
        <w:rPr>
          <w:sz w:val="22"/>
        </w:rPr>
        <w:tab/>
      </w:r>
      <w:r w:rsidR="003D5273" w:rsidRPr="007134C2">
        <w:rPr>
          <w:sz w:val="22"/>
        </w:rPr>
        <w:t>Discussion</w:t>
      </w:r>
    </w:p>
    <w:p w14:paraId="2B65FA97" w14:textId="2A47DB85" w:rsidR="00284DC8" w:rsidRPr="007134C2" w:rsidRDefault="006C0220" w:rsidP="00A72022">
      <w:pPr>
        <w:pStyle w:val="Heading1"/>
        <w:rPr>
          <w:lang w:val="en-US"/>
        </w:rPr>
      </w:pPr>
      <w:r>
        <w:rPr>
          <w:lang w:val="en-US"/>
        </w:rPr>
        <w:t>1</w:t>
      </w:r>
      <w:r w:rsidR="001D4850" w:rsidRPr="007134C2">
        <w:rPr>
          <w:lang w:val="en-US"/>
        </w:rPr>
        <w:tab/>
      </w:r>
      <w:r w:rsidR="00587B97">
        <w:rPr>
          <w:lang w:val="en-US"/>
        </w:rPr>
        <w:t>Introduction</w:t>
      </w:r>
    </w:p>
    <w:p w14:paraId="0B6E1EA8" w14:textId="03E574DC" w:rsidR="006F21C8" w:rsidRDefault="006F21C8" w:rsidP="00385E11">
      <w:r>
        <w:t xml:space="preserve">In LTE, the downlink power allocation setting for the </w:t>
      </w:r>
      <w:r w:rsidR="0093555E">
        <w:t>RRM test</w:t>
      </w:r>
      <w:bookmarkStart w:id="3" w:name="_GoBack"/>
      <w:bookmarkEnd w:id="3"/>
      <w:r>
        <w:t xml:space="preserve">s are set with mainly </w:t>
      </w:r>
      <w:proofErr w:type="spellStart"/>
      <w:r>
        <w:t>σ</w:t>
      </w:r>
      <w:r w:rsidRPr="009B7073">
        <w:rPr>
          <w:vertAlign w:val="subscript"/>
        </w:rPr>
        <w:t>A</w:t>
      </w:r>
      <w:proofErr w:type="spellEnd"/>
      <w:r>
        <w:t xml:space="preserve"> (RA) and </w:t>
      </w:r>
      <w:proofErr w:type="spellStart"/>
      <w:r>
        <w:t>σ</w:t>
      </w:r>
      <w:r w:rsidRPr="009B7073">
        <w:rPr>
          <w:vertAlign w:val="subscript"/>
        </w:rPr>
        <w:t>B</w:t>
      </w:r>
      <w:proofErr w:type="spellEnd"/>
      <w:r w:rsidR="002124FA">
        <w:t xml:space="preserve"> (RB)</w:t>
      </w:r>
      <w:r>
        <w:t xml:space="preserve">, which is the ratio of physical channel EPRE to the common reference symbol EPRE. On the other hand, NR has no CRS and we cannot use RA/RB for power allocation setting. </w:t>
      </w:r>
    </w:p>
    <w:p w14:paraId="41AB9CFB" w14:textId="3BF6F051" w:rsidR="00CB2BF5" w:rsidRDefault="00385E11" w:rsidP="00385E11">
      <w:r>
        <w:t xml:space="preserve">In this contribution we </w:t>
      </w:r>
      <w:r w:rsidR="005211D3">
        <w:t>discuss</w:t>
      </w:r>
      <w:r>
        <w:t xml:space="preserve"> the downlink power allocation</w:t>
      </w:r>
      <w:r w:rsidR="00587B97">
        <w:t xml:space="preserve"> applicable for NR</w:t>
      </w:r>
      <w:r>
        <w:t xml:space="preserve"> </w:t>
      </w:r>
      <w:r w:rsidR="005211D3">
        <w:t>RRM tests</w:t>
      </w:r>
      <w:r>
        <w:t xml:space="preserve">. </w:t>
      </w:r>
    </w:p>
    <w:p w14:paraId="284FB76D" w14:textId="3BF88C63" w:rsidR="00587B97" w:rsidRDefault="00587B97" w:rsidP="00587B97">
      <w:pPr>
        <w:pStyle w:val="Heading1"/>
      </w:pPr>
      <w:r>
        <w:t>2</w:t>
      </w:r>
      <w:r>
        <w:tab/>
      </w:r>
      <w:r w:rsidR="00933FCB">
        <w:t>Discussion</w:t>
      </w:r>
    </w:p>
    <w:p w14:paraId="492E734D" w14:textId="5FBD02FD" w:rsidR="00933FCB" w:rsidRPr="00933FCB" w:rsidRDefault="00933FCB" w:rsidP="00933FCB">
      <w:pPr>
        <w:pStyle w:val="Heading2"/>
      </w:pPr>
      <w:r>
        <w:t>2.1</w:t>
      </w:r>
      <w:r>
        <w:tab/>
        <w:t>DL power allocation</w:t>
      </w:r>
    </w:p>
    <w:p w14:paraId="5CC2DC27" w14:textId="33A54554" w:rsidR="007C78C1" w:rsidRDefault="007C78C1" w:rsidP="007C78C1">
      <w:pPr>
        <w:rPr>
          <w:lang w:val="en-GB"/>
        </w:rPr>
      </w:pPr>
      <w:r>
        <w:rPr>
          <w:lang w:val="en-GB"/>
        </w:rPr>
        <w:t xml:space="preserve">The downlink power allocation is specified in TS38.213 4.1 </w:t>
      </w:r>
      <w:r>
        <w:rPr>
          <w:lang w:val="en-GB"/>
        </w:rPr>
        <w:fldChar w:fldCharType="begin"/>
      </w:r>
      <w:r>
        <w:rPr>
          <w:lang w:val="en-GB"/>
        </w:rPr>
        <w:instrText xml:space="preserve"> REF _Ref517702416 \r \h </w:instrText>
      </w:r>
      <w:r>
        <w:rPr>
          <w:lang w:val="en-GB"/>
        </w:rPr>
      </w:r>
      <w:r>
        <w:rPr>
          <w:lang w:val="en-GB"/>
        </w:rPr>
        <w:fldChar w:fldCharType="separate"/>
      </w:r>
      <w:r w:rsidR="00140BC5">
        <w:rPr>
          <w:lang w:val="en-GB"/>
        </w:rPr>
        <w:t>[3]</w:t>
      </w:r>
      <w:r>
        <w:rPr>
          <w:lang w:val="en-GB"/>
        </w:rPr>
        <w:fldChar w:fldCharType="end"/>
      </w:r>
      <w:r>
        <w:rPr>
          <w:lang w:val="en-GB"/>
        </w:rPr>
        <w:t xml:space="preserve"> and TS38.214 </w:t>
      </w:r>
      <w:r>
        <w:rPr>
          <w:lang w:val="en-GB"/>
        </w:rPr>
        <w:fldChar w:fldCharType="begin"/>
      </w:r>
      <w:r>
        <w:rPr>
          <w:lang w:val="en-GB"/>
        </w:rPr>
        <w:instrText xml:space="preserve"> REF _Ref516846373 \r \h </w:instrText>
      </w:r>
      <w:r>
        <w:rPr>
          <w:lang w:val="en-GB"/>
        </w:rPr>
      </w:r>
      <w:r>
        <w:rPr>
          <w:lang w:val="en-GB"/>
        </w:rPr>
        <w:fldChar w:fldCharType="separate"/>
      </w:r>
      <w:r w:rsidR="00140BC5">
        <w:rPr>
          <w:lang w:val="en-GB"/>
        </w:rPr>
        <w:t>[1]</w:t>
      </w:r>
      <w:r>
        <w:rPr>
          <w:lang w:val="en-GB"/>
        </w:rPr>
        <w:fldChar w:fldCharType="end"/>
      </w:r>
      <w:r>
        <w:rPr>
          <w:lang w:val="en-GB"/>
        </w:rPr>
        <w:t xml:space="preserve"> 4.1 and 5.2.2.3.1. We below list the descriptions related to the DL power allocation.</w:t>
      </w:r>
    </w:p>
    <w:tbl>
      <w:tblPr>
        <w:tblStyle w:val="TableGrid"/>
        <w:tblW w:w="0" w:type="auto"/>
        <w:tblLook w:val="04A0" w:firstRow="1" w:lastRow="0" w:firstColumn="1" w:lastColumn="0" w:noHBand="0" w:noVBand="1"/>
      </w:tblPr>
      <w:tblGrid>
        <w:gridCol w:w="9629"/>
      </w:tblGrid>
      <w:tr w:rsidR="008E0ABF" w14:paraId="3B18113D" w14:textId="77777777" w:rsidTr="008E0ABF">
        <w:tc>
          <w:tcPr>
            <w:tcW w:w="9629" w:type="dxa"/>
          </w:tcPr>
          <w:p w14:paraId="49856BC2" w14:textId="77777777" w:rsidR="007812AE" w:rsidRDefault="007812AE" w:rsidP="007812AE">
            <w:pPr>
              <w:rPr>
                <w:lang w:val="en-GB"/>
              </w:rPr>
            </w:pPr>
            <w:r>
              <w:rPr>
                <w:lang w:val="en-GB"/>
              </w:rPr>
              <w:t>TS38.213 4.1</w:t>
            </w:r>
          </w:p>
          <w:p w14:paraId="14B46734" w14:textId="07D3DD99" w:rsidR="007812AE" w:rsidRPr="0049420E" w:rsidRDefault="007812AE" w:rsidP="007812AE">
            <w:pPr>
              <w:pStyle w:val="ListParagraph"/>
              <w:numPr>
                <w:ilvl w:val="0"/>
                <w:numId w:val="32"/>
              </w:numPr>
              <w:rPr>
                <w:lang w:val="en-GB"/>
              </w:rPr>
            </w:pPr>
            <w:r>
              <w:t xml:space="preserve">The UE shall assume that SSS, PBCH DM-RS, and PBCH data have the same EPRE. The UE may assume that the ratio of PSS EPRE to SSS EPRE in a SS/PBCH block in a corresponding cell is either 0 dB or 3 </w:t>
            </w:r>
            <w:proofErr w:type="spellStart"/>
            <w:r>
              <w:t>dB.</w:t>
            </w:r>
            <w:proofErr w:type="spellEnd"/>
          </w:p>
          <w:p w14:paraId="65E8F6F2" w14:textId="203868C5" w:rsidR="0049420E" w:rsidRPr="007812AE" w:rsidRDefault="0049420E" w:rsidP="007812AE">
            <w:pPr>
              <w:pStyle w:val="ListParagraph"/>
              <w:numPr>
                <w:ilvl w:val="0"/>
                <w:numId w:val="32"/>
              </w:numPr>
              <w:rPr>
                <w:lang w:val="en-GB"/>
              </w:rPr>
            </w:pPr>
            <w:r w:rsidRPr="000F7709">
              <w:rPr>
                <w:lang w:val="en-GB"/>
              </w:rPr>
              <w:t>If the UE has not been provided dedicated higher layer parameters, the UE</w:t>
            </w:r>
            <w:r>
              <w:rPr>
                <w:lang w:val="en-GB"/>
              </w:rPr>
              <w:t xml:space="preserve"> </w:t>
            </w:r>
            <w:r w:rsidRPr="000F7709">
              <w:rPr>
                <w:lang w:val="en-GB"/>
              </w:rPr>
              <w:t>may assume that the ratio of PDCCH DMRS EPRE to SSS EPRE is within -8 dB and 8 dB when the UE monitors PDCCHs for a DCI format 1_0 with CRC scrambled by SI-RNTI, P-RNTI, or RA-RNTI.</w:t>
            </w:r>
          </w:p>
          <w:p w14:paraId="7E4FAC95" w14:textId="75E697DB" w:rsidR="00BF4FBE" w:rsidRPr="00BF4FBE" w:rsidRDefault="00BF4FBE" w:rsidP="00BF4FBE">
            <w:pPr>
              <w:rPr>
                <w:lang w:val="en-GB"/>
              </w:rPr>
            </w:pPr>
            <w:r>
              <w:rPr>
                <w:lang w:val="en-GB"/>
              </w:rPr>
              <w:t>TS38.214 4.1</w:t>
            </w:r>
          </w:p>
          <w:p w14:paraId="677B6BA2" w14:textId="1BE6BF90" w:rsidR="008E0ABF" w:rsidRPr="008E0ABF" w:rsidRDefault="008E0ABF" w:rsidP="008E0ABF">
            <w:pPr>
              <w:pStyle w:val="ListParagraph"/>
              <w:numPr>
                <w:ilvl w:val="0"/>
                <w:numId w:val="30"/>
              </w:numPr>
              <w:rPr>
                <w:lang w:val="en-GB"/>
              </w:rPr>
            </w:pPr>
            <w:r w:rsidRPr="008E0ABF">
              <w:rPr>
                <w:color w:val="000000"/>
              </w:rPr>
              <w:t xml:space="preserve">For the purpose of SS-RSRP, SS-RSRQ and SS-SINR measurements, the UE may assume that the ratio of SSS EPRE to PBCH DM-RS EPRE is 0 </w:t>
            </w:r>
            <w:proofErr w:type="spellStart"/>
            <w:r w:rsidRPr="008E0ABF">
              <w:rPr>
                <w:color w:val="000000"/>
              </w:rPr>
              <w:t>dB.</w:t>
            </w:r>
            <w:proofErr w:type="spellEnd"/>
          </w:p>
          <w:p w14:paraId="7BAF9D64" w14:textId="77777777" w:rsidR="008E0ABF" w:rsidRPr="008E0ABF" w:rsidRDefault="008E0ABF" w:rsidP="008E0ABF">
            <w:pPr>
              <w:pStyle w:val="ListParagraph"/>
              <w:numPr>
                <w:ilvl w:val="0"/>
                <w:numId w:val="30"/>
              </w:numPr>
              <w:rPr>
                <w:lang w:val="en-GB"/>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sidRPr="0048482F">
              <w:rPr>
                <w:i/>
                <w:color w:val="000000"/>
              </w:rPr>
              <w:t>SS-PBCH-</w:t>
            </w:r>
            <w:proofErr w:type="spellStart"/>
            <w:r w:rsidRPr="0048482F">
              <w:rPr>
                <w:i/>
                <w:color w:val="000000"/>
              </w:rPr>
              <w:t>BlockPower</w:t>
            </w:r>
            <w:proofErr w:type="spellEnd"/>
            <w:r w:rsidRPr="0048482F">
              <w:rPr>
                <w:color w:val="000000"/>
              </w:rPr>
              <w:t xml:space="preserve"> provided by higher layers.</w:t>
            </w:r>
          </w:p>
          <w:p w14:paraId="382DDBE2" w14:textId="77777777" w:rsidR="008E0ABF" w:rsidRPr="008E0ABF" w:rsidRDefault="008E0ABF" w:rsidP="008E0ABF">
            <w:pPr>
              <w:pStyle w:val="ListParagraph"/>
              <w:numPr>
                <w:ilvl w:val="0"/>
                <w:numId w:val="30"/>
              </w:numPr>
              <w:rPr>
                <w:lang w:val="en-GB"/>
              </w:rPr>
            </w:pPr>
            <w:r w:rsidRPr="0048482F">
              <w:rPr>
                <w:color w:val="000000"/>
              </w:rPr>
              <w:t xml:space="preserve">The downlink CSI-RS EPRE can be derived from the SS/PBCH block downlink transmit power given by the parameter </w:t>
            </w:r>
            <w:r w:rsidRPr="0048482F">
              <w:rPr>
                <w:i/>
                <w:color w:val="000000"/>
              </w:rPr>
              <w:t>SS-PBCH-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sidDel="003D71D9">
              <w:rPr>
                <w:i/>
                <w:color w:val="000000"/>
              </w:rPr>
              <w:t xml:space="preserve"> </w:t>
            </w:r>
            <w:r w:rsidRPr="0048482F">
              <w:rPr>
                <w:color w:val="000000"/>
              </w:rPr>
              <w:t>provided by higher layers.</w:t>
            </w:r>
          </w:p>
          <w:p w14:paraId="1B0556A9" w14:textId="6F2389D7" w:rsidR="008E0ABF" w:rsidRPr="008E0ABF" w:rsidRDefault="008E0ABF" w:rsidP="008E0ABF">
            <w:pPr>
              <w:pStyle w:val="ListParagraph"/>
              <w:numPr>
                <w:ilvl w:val="0"/>
                <w:numId w:val="30"/>
              </w:numPr>
              <w:rPr>
                <w:lang w:val="en-GB"/>
              </w:rPr>
            </w:pPr>
            <w:r w:rsidRPr="0048482F">
              <w:rPr>
                <w:color w:val="000000"/>
              </w:rPr>
              <w:lastRenderedPageBreak/>
              <w:t xml:space="preserve">For downlink DM-RS </w:t>
            </w:r>
            <w:r>
              <w:rPr>
                <w:color w:val="000000"/>
              </w:rPr>
              <w:t xml:space="preserve">associated </w:t>
            </w:r>
            <w:r w:rsidRPr="0048482F">
              <w:rPr>
                <w:color w:val="000000"/>
              </w:rPr>
              <w:t>with PDSCH, the UE may assume the ratio of PDSCH EPRE to DM-RS EPRE (</w:t>
            </w:r>
            <w:r>
              <w:rPr>
                <w:color w:val="000000"/>
              </w:rPr>
              <w:t>1/</w:t>
            </w:r>
            <w:r w:rsidRPr="0048482F">
              <w:rPr>
                <w:color w:val="000000"/>
                <w:position w:val="-10"/>
              </w:rPr>
              <w:object w:dxaOrig="600" w:dyaOrig="300" w14:anchorId="52592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9" o:title=""/>
                </v:shape>
                <o:OLEObject Type="Embed" ProgID="Equation.3" ShapeID="_x0000_i1025" DrawAspect="Content" ObjectID="_1591473078" r:id="rId10"/>
              </w:objec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subclause 5.1.6.2</w:t>
            </w:r>
            <w:r w:rsidRPr="0048482F">
              <w:rPr>
                <w:color w:val="000000"/>
              </w:rPr>
              <w:t>.</w:t>
            </w:r>
            <w:bookmarkStart w:id="4" w:name="_Hlk516036066"/>
          </w:p>
          <w:p w14:paraId="0799B035" w14:textId="77777777" w:rsidR="008E0ABF" w:rsidRPr="008E0ABF" w:rsidRDefault="008E0ABF" w:rsidP="008E0ABF">
            <w:pPr>
              <w:pStyle w:val="ListParagraph"/>
              <w:numPr>
                <w:ilvl w:val="0"/>
                <w:numId w:val="30"/>
              </w:numPr>
              <w:rPr>
                <w:lang w:val="en-GB"/>
              </w:rPr>
            </w:pPr>
            <w:r w:rsidRPr="008E0ABF">
              <w:rPr>
                <w:color w:val="000000"/>
              </w:rPr>
              <w:t xml:space="preserve">The downlink PDCCH EPRE is assumed as the ratio of the PDCCH EPRE to NZP CSI-RS EPRE and takes the value of 0 </w:t>
            </w:r>
            <w:proofErr w:type="spellStart"/>
            <w:r w:rsidRPr="008E0ABF">
              <w:rPr>
                <w:color w:val="000000"/>
              </w:rPr>
              <w:t>dB.</w:t>
            </w:r>
            <w:bookmarkEnd w:id="4"/>
            <w:proofErr w:type="spellEnd"/>
          </w:p>
          <w:p w14:paraId="3DFFE35C" w14:textId="0C212DE3" w:rsidR="008E0ABF" w:rsidRDefault="008E0ABF" w:rsidP="008E0ABF">
            <w:pPr>
              <w:pStyle w:val="ListParagraph"/>
              <w:numPr>
                <w:ilvl w:val="0"/>
                <w:numId w:val="30"/>
              </w:numPr>
              <w:rPr>
                <w:lang w:val="en-GB"/>
              </w:rPr>
            </w:pPr>
            <w:r>
              <w:rPr>
                <w:lang w:val="en-GB"/>
              </w:rPr>
              <w:t>Ratio of PTRS-to-PDSCH EPRE ratio is specified in Table 4.1-2.</w:t>
            </w:r>
          </w:p>
          <w:p w14:paraId="6FEA1A3B" w14:textId="2E2FFB1C" w:rsidR="00BF4FBE" w:rsidRPr="00BF4FBE" w:rsidRDefault="00BF4FBE" w:rsidP="00BF4FBE">
            <w:pPr>
              <w:rPr>
                <w:lang w:val="en-GB"/>
              </w:rPr>
            </w:pPr>
            <w:r>
              <w:rPr>
                <w:lang w:val="en-GB"/>
              </w:rPr>
              <w:t>TS38.214 5.2.2.3.1</w:t>
            </w:r>
          </w:p>
          <w:p w14:paraId="00D22F1B" w14:textId="5C7BF5D0" w:rsidR="00BF4FBE" w:rsidRPr="00BF4FBE" w:rsidRDefault="00BF4FBE" w:rsidP="00BF4FBE">
            <w:pPr>
              <w:pStyle w:val="ListParagraph"/>
              <w:numPr>
                <w:ilvl w:val="0"/>
                <w:numId w:val="30"/>
              </w:numPr>
              <w:rPr>
                <w:lang w:val="en-GB"/>
              </w:rPr>
            </w:pPr>
            <w:proofErr w:type="spellStart"/>
            <w:r w:rsidRPr="00BF4FBE">
              <w:rPr>
                <w:i/>
                <w:lang w:val="en-GB"/>
              </w:rPr>
              <w:t>powerControlOffset</w:t>
            </w:r>
            <w:proofErr w:type="spellEnd"/>
            <w:r w:rsidRPr="00BF4FBE">
              <w:rPr>
                <w:lang w:val="en-GB"/>
              </w:rPr>
              <w:t>: which is the assumed ratio of PDSCH EPRE to NZP CSI-RS EPRE when UE derives CSI feedback and takes values in the range of [-8, 15] dB with 1 dB step size.</w:t>
            </w:r>
          </w:p>
          <w:p w14:paraId="19390240" w14:textId="6E85552A" w:rsidR="00BF4FBE" w:rsidRPr="008E0ABF" w:rsidRDefault="00BF4FBE" w:rsidP="00BF4FBE">
            <w:pPr>
              <w:pStyle w:val="ListParagraph"/>
              <w:numPr>
                <w:ilvl w:val="0"/>
                <w:numId w:val="30"/>
              </w:numPr>
              <w:rPr>
                <w:lang w:val="en-GB"/>
              </w:rPr>
            </w:pPr>
            <w:proofErr w:type="spellStart"/>
            <w:r w:rsidRPr="00BF4FBE">
              <w:rPr>
                <w:i/>
                <w:lang w:val="en-GB"/>
              </w:rPr>
              <w:t>powerControlOffsetSS</w:t>
            </w:r>
            <w:proofErr w:type="spellEnd"/>
            <w:r w:rsidRPr="00BF4FBE">
              <w:rPr>
                <w:lang w:val="en-GB"/>
              </w:rPr>
              <w:t>: which is the assumed ratio of SS/PBCH block EPRE to NZP CSI-RS EPRE.</w:t>
            </w:r>
          </w:p>
        </w:tc>
      </w:tr>
    </w:tbl>
    <w:p w14:paraId="4DEFA87A" w14:textId="17EE40E2" w:rsidR="00815688" w:rsidRDefault="00815688" w:rsidP="00587B97">
      <w:pPr>
        <w:rPr>
          <w:lang w:val="en-GB"/>
        </w:rPr>
      </w:pPr>
    </w:p>
    <w:p w14:paraId="2A3BEF07" w14:textId="584D999C" w:rsidR="00EC5880" w:rsidRDefault="00EC5880" w:rsidP="00587B97">
      <w:pPr>
        <w:rPr>
          <w:lang w:val="en-GB"/>
        </w:rPr>
      </w:pPr>
    </w:p>
    <w:p w14:paraId="2237132E" w14:textId="77777777" w:rsidR="00EC5880" w:rsidRDefault="00EC5880" w:rsidP="00EC5880">
      <w:r>
        <w:fldChar w:fldCharType="begin"/>
      </w:r>
      <w:r>
        <w:instrText xml:space="preserve"> REF _Ref517357702 \h </w:instrText>
      </w:r>
      <w:r>
        <w:fldChar w:fldCharType="separate"/>
      </w:r>
      <w:r>
        <w:t xml:space="preserve">Figure </w:t>
      </w:r>
      <w:r>
        <w:rPr>
          <w:noProof/>
        </w:rPr>
        <w:t>1</w:t>
      </w:r>
      <w:r>
        <w:fldChar w:fldCharType="end"/>
      </w:r>
      <w:r>
        <w:t xml:space="preserve"> illustrates the relation among channels/symbols according to the </w:t>
      </w:r>
      <w:r>
        <w:fldChar w:fldCharType="begin"/>
      </w:r>
      <w:r>
        <w:instrText xml:space="preserve"> REF _Ref516846373 \r \h </w:instrText>
      </w:r>
      <w:r>
        <w:fldChar w:fldCharType="separate"/>
      </w:r>
      <w:r>
        <w:t>[1]</w:t>
      </w:r>
      <w:r>
        <w:fldChar w:fldCharType="end"/>
      </w:r>
      <w:r>
        <w:fldChar w:fldCharType="begin"/>
      </w:r>
      <w:r>
        <w:instrText xml:space="preserve"> REF _Ref517702416 \r \h </w:instrText>
      </w:r>
      <w:r>
        <w:fldChar w:fldCharType="separate"/>
      </w:r>
      <w:r>
        <w:t>[3]</w:t>
      </w:r>
      <w:r>
        <w:fldChar w:fldCharType="end"/>
      </w:r>
      <w:r>
        <w:t xml:space="preserve">. From the figure, it is observed that </w:t>
      </w:r>
      <w:proofErr w:type="spellStart"/>
      <w:r>
        <w:t>gNB</w:t>
      </w:r>
      <w:proofErr w:type="spellEnd"/>
      <w:r>
        <w:t xml:space="preserve"> signals the absolute SSS transmission power and the ratio of NZP-CSI-RS to SSS. UE will use this information for measurement based on SSB and CSI-RS. It is also observed that </w:t>
      </w:r>
      <w:proofErr w:type="spellStart"/>
      <w:r>
        <w:t>gNB</w:t>
      </w:r>
      <w:proofErr w:type="spellEnd"/>
      <w:r>
        <w:t xml:space="preserve"> signals the ratio of </w:t>
      </w:r>
      <w:r w:rsidRPr="00BF4FBE">
        <w:rPr>
          <w:lang w:val="en-GB"/>
        </w:rPr>
        <w:t>PDSCH EPRE to NZP CSI-RS EPRE</w:t>
      </w:r>
      <w:r>
        <w:rPr>
          <w:lang w:val="en-GB"/>
        </w:rPr>
        <w:t>, however UE is supposed to use it for the CQI estimation</w:t>
      </w:r>
      <w:r>
        <w:t xml:space="preserve">. </w:t>
      </w:r>
      <w:r>
        <w:rPr>
          <w:lang w:val="en-GB"/>
        </w:rPr>
        <w:t>T</w:t>
      </w:r>
      <w:r w:rsidRPr="0048482F">
        <w:rPr>
          <w:color w:val="000000"/>
        </w:rPr>
        <w:t>he ratio of PDSCH</w:t>
      </w:r>
      <w:r>
        <w:rPr>
          <w:color w:val="000000"/>
        </w:rPr>
        <w:t>-t</w:t>
      </w:r>
      <w:r w:rsidRPr="0048482F">
        <w:rPr>
          <w:color w:val="000000"/>
        </w:rPr>
        <w:t>o</w:t>
      </w:r>
      <w:r>
        <w:rPr>
          <w:color w:val="000000"/>
        </w:rPr>
        <w:t>-</w:t>
      </w:r>
      <w:r w:rsidRPr="0048482F">
        <w:rPr>
          <w:color w:val="000000"/>
        </w:rPr>
        <w:t>DMRS EPRE</w:t>
      </w:r>
      <w:r>
        <w:rPr>
          <w:color w:val="000000"/>
        </w:rPr>
        <w:t xml:space="preserve"> and </w:t>
      </w:r>
      <w:r>
        <w:rPr>
          <w:lang w:val="en-GB"/>
        </w:rPr>
        <w:t>PTRS-to-PDSCH EPRE</w:t>
      </w:r>
      <w:r>
        <w:t xml:space="preserve"> are specified based on DMRS configuration. </w:t>
      </w:r>
    </w:p>
    <w:p w14:paraId="340AED1C" w14:textId="77777777" w:rsidR="00EC5880" w:rsidRPr="00EC5880" w:rsidRDefault="00EC5880" w:rsidP="00587B97"/>
    <w:p w14:paraId="1BEF6D55" w14:textId="6D2A9EA4" w:rsidR="00B41E15" w:rsidRDefault="00DB13BD" w:rsidP="00587B97">
      <w:pPr>
        <w:rPr>
          <w:lang w:val="en-GB"/>
        </w:rPr>
      </w:pPr>
      <w:r>
        <w:rPr>
          <w:noProof/>
          <w:lang w:val="en-GB"/>
        </w:rPr>
        <w:drawing>
          <wp:inline distT="0" distB="0" distL="0" distR="0" wp14:anchorId="1714ED92" wp14:editId="18EAB469">
            <wp:extent cx="5744236" cy="316230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1772" cy="3166449"/>
                    </a:xfrm>
                    <a:prstGeom prst="rect">
                      <a:avLst/>
                    </a:prstGeom>
                    <a:noFill/>
                  </pic:spPr>
                </pic:pic>
              </a:graphicData>
            </a:graphic>
          </wp:inline>
        </w:drawing>
      </w:r>
    </w:p>
    <w:p w14:paraId="66FB1A9F" w14:textId="367A7349" w:rsidR="00BF4FBE" w:rsidRDefault="00BF4FBE" w:rsidP="00BF4FBE">
      <w:pPr>
        <w:pStyle w:val="Caption"/>
      </w:pPr>
      <w:bookmarkStart w:id="5" w:name="_Ref517357702"/>
      <w:r>
        <w:t xml:space="preserve">Figure </w:t>
      </w:r>
      <w:r w:rsidR="0093555E">
        <w:fldChar w:fldCharType="begin"/>
      </w:r>
      <w:r w:rsidR="0093555E">
        <w:instrText xml:space="preserve"> SEQ Figure \* ARABIC </w:instrText>
      </w:r>
      <w:r w:rsidR="0093555E">
        <w:fldChar w:fldCharType="separate"/>
      </w:r>
      <w:r w:rsidR="00140BC5">
        <w:rPr>
          <w:noProof/>
        </w:rPr>
        <w:t>1</w:t>
      </w:r>
      <w:r w:rsidR="0093555E">
        <w:rPr>
          <w:noProof/>
        </w:rPr>
        <w:fldChar w:fldCharType="end"/>
      </w:r>
      <w:bookmarkEnd w:id="5"/>
      <w:r>
        <w:tab/>
        <w:t>Illustration of power allocation setting among channels/symbols</w:t>
      </w:r>
      <w:r w:rsidR="0071710D">
        <w:t xml:space="preserve"> according to </w:t>
      </w:r>
      <w:r w:rsidR="00095E74">
        <w:t>TS38.213/</w:t>
      </w:r>
      <w:r w:rsidR="0071710D">
        <w:t>TS38.214</w:t>
      </w:r>
      <w:r>
        <w:t xml:space="preserve">. </w:t>
      </w:r>
    </w:p>
    <w:p w14:paraId="24837E7F" w14:textId="24BAF81D" w:rsidR="000D3078" w:rsidRDefault="00DB13BD" w:rsidP="00587B97">
      <w:pPr>
        <w:rPr>
          <w:rFonts w:ascii="Calibri" w:hAnsi="Calibri"/>
        </w:rPr>
      </w:pPr>
      <w:r>
        <w:t xml:space="preserve">Considering the RAN1 specification, we think the DL power allocation for PSS, NZP-CSI-RS and DMRSs used for </w:t>
      </w:r>
      <w:r w:rsidR="0093555E">
        <w:t>RRM tests</w:t>
      </w:r>
      <w:r>
        <w:t xml:space="preserve"> are set relative to SSS. For physical channels, they should be set relative to the associated DMRS EPREs. </w:t>
      </w:r>
      <w:r w:rsidR="006828F0">
        <w:fldChar w:fldCharType="begin"/>
      </w:r>
      <w:r w:rsidR="006828F0">
        <w:instrText xml:space="preserve"> REF _Ref517358698 \h </w:instrText>
      </w:r>
      <w:r w:rsidR="006828F0">
        <w:fldChar w:fldCharType="separate"/>
      </w:r>
      <w:r w:rsidR="00140BC5">
        <w:t xml:space="preserve">Figure </w:t>
      </w:r>
      <w:r w:rsidR="00140BC5">
        <w:rPr>
          <w:noProof/>
        </w:rPr>
        <w:t>2</w:t>
      </w:r>
      <w:r w:rsidR="006828F0">
        <w:fldChar w:fldCharType="end"/>
      </w:r>
      <w:r w:rsidR="006828F0">
        <w:t xml:space="preserve"> illustrate</w:t>
      </w:r>
      <w:r w:rsidR="0074337F">
        <w:t>s</w:t>
      </w:r>
      <w:r w:rsidR="006828F0">
        <w:t xml:space="preserve"> the power setting relation among channels/signals</w:t>
      </w:r>
      <w:r w:rsidR="0074337F">
        <w:t xml:space="preserve">, and </w:t>
      </w:r>
      <w:r w:rsidR="0074337F">
        <w:fldChar w:fldCharType="begin"/>
      </w:r>
      <w:r w:rsidR="0074337F">
        <w:instrText xml:space="preserve"> REF _Ref517359365 \h </w:instrText>
      </w:r>
      <w:r w:rsidR="0074337F">
        <w:fldChar w:fldCharType="separate"/>
      </w:r>
      <w:r w:rsidR="00140BC5">
        <w:t xml:space="preserve">Table </w:t>
      </w:r>
      <w:r w:rsidR="00140BC5">
        <w:rPr>
          <w:noProof/>
        </w:rPr>
        <w:t>1</w:t>
      </w:r>
      <w:r w:rsidR="0074337F">
        <w:fldChar w:fldCharType="end"/>
      </w:r>
      <w:r w:rsidR="0074337F">
        <w:t xml:space="preserve"> is our proposal </w:t>
      </w:r>
      <w:r w:rsidR="00556368">
        <w:t>used</w:t>
      </w:r>
      <w:r w:rsidR="0074337F">
        <w:t xml:space="preserve"> in TS38.</w:t>
      </w:r>
      <w:r w:rsidR="00556368">
        <w:t>133</w:t>
      </w:r>
      <w:r w:rsidR="0074337F">
        <w:t xml:space="preserve">. </w:t>
      </w:r>
      <w:r w:rsidR="0051443F">
        <w:t xml:space="preserve">In our understanding, the ratio of channels/symbols to SSS can be set to 0dB except for RLM out-of-synch. For RLM OOS, since RAN4 agreed to assume power boosting of 4dB. For </w:t>
      </w:r>
      <w:r w:rsidR="00EC5880">
        <w:t xml:space="preserve">the </w:t>
      </w:r>
      <w:r w:rsidR="0051443F">
        <w:t>SSB based RLM</w:t>
      </w:r>
      <w:r w:rsidR="0002504D">
        <w:t xml:space="preserve"> OOS</w:t>
      </w:r>
      <w:r w:rsidR="0051443F">
        <w:t xml:space="preserve">, Table 8.1.2.1-1 </w:t>
      </w:r>
      <w:r w:rsidR="0002504D">
        <w:t xml:space="preserve">in </w:t>
      </w:r>
      <w:r w:rsidR="0002504D">
        <w:fldChar w:fldCharType="begin"/>
      </w:r>
      <w:r w:rsidR="0002504D">
        <w:instrText xml:space="preserve"> REF _Ref517703445 \r \h </w:instrText>
      </w:r>
      <w:r w:rsidR="0002504D">
        <w:fldChar w:fldCharType="separate"/>
      </w:r>
      <w:r w:rsidR="0002504D">
        <w:t>[4]</w:t>
      </w:r>
      <w:r w:rsidR="0002504D">
        <w:fldChar w:fldCharType="end"/>
      </w:r>
      <w:r w:rsidR="0002504D">
        <w:t xml:space="preserve"> </w:t>
      </w:r>
      <w:r w:rsidR="0051443F">
        <w:t xml:space="preserve">specifies EPRE ratio of PDCCH to SSS and EPRE ratio of PDCCH DMRS to SSS are both set to 4dB. In the test case, we can set EPRE ratio of PDCCH DMRS to SSS to 4dB and set </w:t>
      </w:r>
      <w:r w:rsidR="0051443F">
        <w:rPr>
          <w:rFonts w:ascii="Calibri" w:hAnsi="Calibri"/>
        </w:rPr>
        <w:t xml:space="preserve">EPRE ratio of PDCCH to PDCCH DMRS to 0dB. </w:t>
      </w:r>
      <w:r w:rsidR="0002504D">
        <w:rPr>
          <w:rFonts w:ascii="Calibri" w:hAnsi="Calibri"/>
        </w:rPr>
        <w:t>For CSI-RS based RLM OOS, Table 8.1.3.2-1</w:t>
      </w:r>
      <w:r w:rsidR="0002504D">
        <w:t xml:space="preserve"> </w:t>
      </w:r>
      <w:r w:rsidR="0002504D">
        <w:fldChar w:fldCharType="begin"/>
      </w:r>
      <w:r w:rsidR="0002504D">
        <w:instrText xml:space="preserve"> REF _Ref517703445 \r \h </w:instrText>
      </w:r>
      <w:r w:rsidR="0002504D">
        <w:fldChar w:fldCharType="separate"/>
      </w:r>
      <w:r w:rsidR="0002504D">
        <w:t>[4]</w:t>
      </w:r>
      <w:r w:rsidR="0002504D">
        <w:fldChar w:fldCharType="end"/>
      </w:r>
      <w:r w:rsidR="0002504D">
        <w:t xml:space="preserve"> specifies EPRE ratio of PDCCH to CSI-RS and EPRE ratio of PDCCH DMRS to CSI-RS are both set to 4dB. In the test case, we can set EPRE ratio of PDCCH DMRS to SSS to 4dB and set </w:t>
      </w:r>
      <w:r w:rsidR="0002504D">
        <w:rPr>
          <w:rFonts w:ascii="Calibri" w:hAnsi="Calibri"/>
        </w:rPr>
        <w:t>EPRE ratio of PDCCH to PDCCH DMRS to 0dB.</w:t>
      </w:r>
    </w:p>
    <w:p w14:paraId="19555F23" w14:textId="5E150945" w:rsidR="00DB119A" w:rsidRDefault="00DB119A" w:rsidP="00587B97">
      <w:pPr>
        <w:rPr>
          <w:rFonts w:ascii="Calibri" w:hAnsi="Calibri"/>
        </w:rPr>
      </w:pPr>
      <w:r>
        <w:t xml:space="preserve">Note OCNG refers to the PDSCH and associated PDSCH DMRS schedule for other UEs within the cell. For simplicity, we assume the number of DMRS CDM groups without data for PDSCH DMRS configuration for OCNG is one, and therefore we can set </w:t>
      </w:r>
      <w:r>
        <w:rPr>
          <w:rFonts w:ascii="Calibri" w:hAnsi="Calibri"/>
        </w:rPr>
        <w:t xml:space="preserve">EPRE ratio of OCNG to OCNG DMRS to 0dB. </w:t>
      </w:r>
    </w:p>
    <w:p w14:paraId="317ACAB7" w14:textId="072EE4F3" w:rsidR="003F1C7F" w:rsidRPr="003F1C7F" w:rsidRDefault="003F1C7F" w:rsidP="003F1C7F">
      <w:pPr>
        <w:rPr>
          <w:b/>
        </w:rPr>
      </w:pPr>
      <w:r w:rsidRPr="003F1C7F">
        <w:rPr>
          <w:b/>
        </w:rPr>
        <w:t>Proposal 1: RAN4 will specify the DL power allocation as follow:</w:t>
      </w:r>
    </w:p>
    <w:p w14:paraId="4EBFA95E" w14:textId="77777777" w:rsidR="003F1C7F" w:rsidRPr="003F1C7F" w:rsidRDefault="003F1C7F" w:rsidP="003F1C7F">
      <w:pPr>
        <w:pStyle w:val="ListParagraph"/>
        <w:numPr>
          <w:ilvl w:val="0"/>
          <w:numId w:val="33"/>
        </w:numPr>
        <w:rPr>
          <w:b/>
        </w:rPr>
      </w:pPr>
      <w:r w:rsidRPr="003F1C7F">
        <w:rPr>
          <w:b/>
        </w:rPr>
        <w:t>EPRE of PBCH DMRS, PDCCH DMRS, PDSCH DMRS, OCNG DMRS, PSS, and NZP-CSI-RS are set relative to SSS EPRE</w:t>
      </w:r>
    </w:p>
    <w:p w14:paraId="68117CDF" w14:textId="4F6CFCEF" w:rsidR="003F1C7F" w:rsidRPr="003F1C7F" w:rsidRDefault="003F1C7F" w:rsidP="003F1C7F">
      <w:pPr>
        <w:pStyle w:val="ListParagraph"/>
        <w:numPr>
          <w:ilvl w:val="0"/>
          <w:numId w:val="33"/>
        </w:numPr>
        <w:rPr>
          <w:b/>
        </w:rPr>
      </w:pPr>
      <w:r w:rsidRPr="003F1C7F">
        <w:rPr>
          <w:b/>
        </w:rPr>
        <w:t>EPRE of physical channels (PBCH, PDCCH, PDSCH, OCNG) are set relative to the EPRE of associated DMRS (e.g., PD</w:t>
      </w:r>
      <w:r w:rsidR="00174059">
        <w:rPr>
          <w:b/>
        </w:rPr>
        <w:t>S</w:t>
      </w:r>
      <w:r w:rsidRPr="003F1C7F">
        <w:rPr>
          <w:b/>
        </w:rPr>
        <w:t>CH to PDSCH DMRS)</w:t>
      </w:r>
    </w:p>
    <w:p w14:paraId="7F42DFDC" w14:textId="77777777" w:rsidR="003F1C7F" w:rsidRDefault="003F1C7F" w:rsidP="00587B97"/>
    <w:p w14:paraId="5728F2B9" w14:textId="2BACFEE1" w:rsidR="00F51947" w:rsidRPr="00F51947" w:rsidRDefault="00F51947" w:rsidP="00587B97">
      <w:pPr>
        <w:rPr>
          <w:b/>
        </w:rPr>
      </w:pPr>
      <w:r w:rsidRPr="009A182F">
        <w:rPr>
          <w:b/>
        </w:rPr>
        <w:t>Proposal</w:t>
      </w:r>
      <w:r>
        <w:rPr>
          <w:b/>
        </w:rPr>
        <w:t xml:space="preserve"> 1</w:t>
      </w:r>
      <w:r w:rsidRPr="009A182F">
        <w:rPr>
          <w:b/>
        </w:rPr>
        <w:t xml:space="preserve">: RAN4 </w:t>
      </w:r>
      <w:r>
        <w:rPr>
          <w:b/>
        </w:rPr>
        <w:t xml:space="preserve">sets DL power allocation in TS38.133 as in </w:t>
      </w:r>
      <w:r>
        <w:rPr>
          <w:b/>
        </w:rPr>
        <w:fldChar w:fldCharType="begin"/>
      </w:r>
      <w:r>
        <w:rPr>
          <w:b/>
        </w:rPr>
        <w:instrText xml:space="preserve"> REF _Ref517359365 \h </w:instrText>
      </w:r>
      <w:r>
        <w:rPr>
          <w:b/>
        </w:rPr>
      </w:r>
      <w:r>
        <w:rPr>
          <w:b/>
        </w:rPr>
        <w:fldChar w:fldCharType="separate"/>
      </w:r>
      <w:r w:rsidR="00140BC5">
        <w:t xml:space="preserve">Table </w:t>
      </w:r>
      <w:r w:rsidR="00140BC5">
        <w:rPr>
          <w:noProof/>
        </w:rPr>
        <w:t>1</w:t>
      </w:r>
      <w:r>
        <w:rPr>
          <w:b/>
        </w:rPr>
        <w:fldChar w:fldCharType="end"/>
      </w:r>
      <w:r>
        <w:rPr>
          <w:b/>
        </w:rPr>
        <w:t xml:space="preserve">. </w:t>
      </w:r>
    </w:p>
    <w:p w14:paraId="7A62E61D" w14:textId="6227F278" w:rsidR="00385E11" w:rsidRDefault="00DB13BD" w:rsidP="00587B97">
      <w:pPr>
        <w:rPr>
          <w:lang w:val="en-GB"/>
        </w:rPr>
      </w:pPr>
      <w:r>
        <w:rPr>
          <w:noProof/>
          <w:lang w:val="en-GB"/>
        </w:rPr>
        <w:drawing>
          <wp:inline distT="0" distB="0" distL="0" distR="0" wp14:anchorId="318DC0DC" wp14:editId="262C748A">
            <wp:extent cx="5597525" cy="3567362"/>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030" cy="3574057"/>
                    </a:xfrm>
                    <a:prstGeom prst="rect">
                      <a:avLst/>
                    </a:prstGeom>
                    <a:noFill/>
                  </pic:spPr>
                </pic:pic>
              </a:graphicData>
            </a:graphic>
          </wp:inline>
        </w:drawing>
      </w:r>
    </w:p>
    <w:p w14:paraId="2EDFF312" w14:textId="67FF02CE" w:rsidR="00A40593" w:rsidRDefault="006828F0" w:rsidP="006828F0">
      <w:pPr>
        <w:pStyle w:val="Caption"/>
      </w:pPr>
      <w:bookmarkStart w:id="6" w:name="_Ref517358698"/>
      <w:r>
        <w:t xml:space="preserve">Figure </w:t>
      </w:r>
      <w:r w:rsidR="0093555E">
        <w:fldChar w:fldCharType="begin"/>
      </w:r>
      <w:r w:rsidR="0093555E">
        <w:instrText xml:space="preserve"> SEQ Figure \* ARABIC </w:instrText>
      </w:r>
      <w:r w:rsidR="0093555E">
        <w:fldChar w:fldCharType="separate"/>
      </w:r>
      <w:r w:rsidR="00140BC5">
        <w:rPr>
          <w:noProof/>
        </w:rPr>
        <w:t>2</w:t>
      </w:r>
      <w:r w:rsidR="0093555E">
        <w:rPr>
          <w:noProof/>
        </w:rPr>
        <w:fldChar w:fldCharType="end"/>
      </w:r>
      <w:bookmarkEnd w:id="6"/>
      <w:r>
        <w:tab/>
        <w:t xml:space="preserve">Proposed DL power allocation setting for </w:t>
      </w:r>
      <w:r w:rsidR="0093555E">
        <w:t>RRM tests</w:t>
      </w:r>
      <w:r>
        <w:t xml:space="preserve">.  </w:t>
      </w:r>
    </w:p>
    <w:p w14:paraId="7932C482" w14:textId="2BA9B13B" w:rsidR="006828F0" w:rsidRDefault="006828F0" w:rsidP="006828F0"/>
    <w:p w14:paraId="44424D7D" w14:textId="721FA260" w:rsidR="006828F0" w:rsidRPr="006828F0" w:rsidRDefault="006828F0" w:rsidP="006828F0">
      <w:pPr>
        <w:pStyle w:val="Caption"/>
      </w:pPr>
      <w:bookmarkStart w:id="7" w:name="_Ref517359365"/>
      <w:r>
        <w:t xml:space="preserve">Table </w:t>
      </w:r>
      <w:r w:rsidR="0093555E">
        <w:fldChar w:fldCharType="begin"/>
      </w:r>
      <w:r w:rsidR="0093555E">
        <w:instrText xml:space="preserve"> SEQ Table \* ARABIC </w:instrText>
      </w:r>
      <w:r w:rsidR="0093555E">
        <w:fldChar w:fldCharType="separate"/>
      </w:r>
      <w:r w:rsidR="00140BC5">
        <w:rPr>
          <w:noProof/>
        </w:rPr>
        <w:t>1</w:t>
      </w:r>
      <w:r w:rsidR="0093555E">
        <w:rPr>
          <w:noProof/>
        </w:rPr>
        <w:fldChar w:fldCharType="end"/>
      </w:r>
      <w:bookmarkEnd w:id="7"/>
      <w:r>
        <w:tab/>
      </w:r>
      <w:r w:rsidR="00032430" w:rsidRPr="00032430">
        <w:t>Downlink Physical Channels transmitted during a connection (FDD and TDD)</w:t>
      </w:r>
      <w:r w:rsidR="00032430">
        <w:t>.</w:t>
      </w:r>
    </w:p>
    <w:tbl>
      <w:tblPr>
        <w:tblStyle w:val="TableGrid"/>
        <w:tblW w:w="0" w:type="auto"/>
        <w:tblLook w:val="04A0" w:firstRow="1" w:lastRow="0" w:firstColumn="1" w:lastColumn="0" w:noHBand="0" w:noVBand="1"/>
      </w:tblPr>
      <w:tblGrid>
        <w:gridCol w:w="3775"/>
        <w:gridCol w:w="597"/>
        <w:gridCol w:w="1752"/>
        <w:gridCol w:w="1752"/>
        <w:gridCol w:w="1753"/>
      </w:tblGrid>
      <w:tr w:rsidR="00F03680" w14:paraId="6C6CD099" w14:textId="0256D3F2" w:rsidTr="00F03680">
        <w:tc>
          <w:tcPr>
            <w:tcW w:w="3775" w:type="dxa"/>
          </w:tcPr>
          <w:p w14:paraId="3EA38782" w14:textId="77777777" w:rsidR="00F03680" w:rsidRDefault="00F03680" w:rsidP="006C4D30">
            <w:pPr>
              <w:spacing w:after="0"/>
              <w:rPr>
                <w:lang w:val="en-GB"/>
              </w:rPr>
            </w:pPr>
            <w:r>
              <w:rPr>
                <w:rFonts w:ascii="Calibri" w:hAnsi="Calibri"/>
              </w:rPr>
              <w:t>Parameter</w:t>
            </w:r>
          </w:p>
        </w:tc>
        <w:tc>
          <w:tcPr>
            <w:tcW w:w="597" w:type="dxa"/>
          </w:tcPr>
          <w:p w14:paraId="22924A90" w14:textId="77777777" w:rsidR="00F03680" w:rsidRDefault="00F03680" w:rsidP="006C4D30">
            <w:pPr>
              <w:spacing w:after="0"/>
              <w:rPr>
                <w:lang w:val="en-GB"/>
              </w:rPr>
            </w:pPr>
            <w:r>
              <w:rPr>
                <w:rFonts w:ascii="Calibri" w:hAnsi="Calibri"/>
              </w:rPr>
              <w:t>Unit</w:t>
            </w:r>
          </w:p>
        </w:tc>
        <w:tc>
          <w:tcPr>
            <w:tcW w:w="1752" w:type="dxa"/>
          </w:tcPr>
          <w:p w14:paraId="614342F6" w14:textId="4B04C106" w:rsidR="00F03680" w:rsidRDefault="00F03680" w:rsidP="006C4D30">
            <w:pPr>
              <w:spacing w:after="0"/>
              <w:rPr>
                <w:lang w:val="en-GB"/>
              </w:rPr>
            </w:pPr>
            <w:r>
              <w:rPr>
                <w:rFonts w:ascii="Calibri" w:hAnsi="Calibri"/>
              </w:rPr>
              <w:t>Values (baseline)</w:t>
            </w:r>
          </w:p>
        </w:tc>
        <w:tc>
          <w:tcPr>
            <w:tcW w:w="1752" w:type="dxa"/>
          </w:tcPr>
          <w:p w14:paraId="24947073" w14:textId="1C534EED" w:rsidR="00F03680" w:rsidRDefault="00F03680" w:rsidP="006C4D30">
            <w:pPr>
              <w:spacing w:after="0"/>
              <w:rPr>
                <w:rFonts w:ascii="Calibri" w:hAnsi="Calibri"/>
              </w:rPr>
            </w:pPr>
            <w:r>
              <w:rPr>
                <w:rFonts w:ascii="Calibri" w:hAnsi="Calibri"/>
              </w:rPr>
              <w:t>Values (SSB based RLM out-of-synch)</w:t>
            </w:r>
          </w:p>
        </w:tc>
        <w:tc>
          <w:tcPr>
            <w:tcW w:w="1753" w:type="dxa"/>
          </w:tcPr>
          <w:p w14:paraId="580DA150" w14:textId="57EF1326" w:rsidR="00F03680" w:rsidRDefault="00F03680" w:rsidP="006C4D30">
            <w:pPr>
              <w:spacing w:after="0"/>
              <w:rPr>
                <w:rFonts w:ascii="Calibri" w:hAnsi="Calibri"/>
              </w:rPr>
            </w:pPr>
            <w:r>
              <w:rPr>
                <w:rFonts w:ascii="Calibri" w:hAnsi="Calibri"/>
              </w:rPr>
              <w:t>Values (CSI-RS based RLM out-of-synch)</w:t>
            </w:r>
          </w:p>
        </w:tc>
      </w:tr>
      <w:tr w:rsidR="00433650" w14:paraId="61043777" w14:textId="72AE23C1" w:rsidTr="00F03680">
        <w:tc>
          <w:tcPr>
            <w:tcW w:w="3775" w:type="dxa"/>
          </w:tcPr>
          <w:p w14:paraId="258B79BD" w14:textId="77777777" w:rsidR="00433650" w:rsidRDefault="00433650" w:rsidP="00433650">
            <w:pPr>
              <w:spacing w:after="0"/>
              <w:rPr>
                <w:lang w:val="en-GB"/>
              </w:rPr>
            </w:pPr>
            <w:r>
              <w:rPr>
                <w:rFonts w:ascii="Calibri" w:hAnsi="Calibri"/>
              </w:rPr>
              <w:t xml:space="preserve">SSS transmit power </w:t>
            </w:r>
          </w:p>
        </w:tc>
        <w:tc>
          <w:tcPr>
            <w:tcW w:w="597" w:type="dxa"/>
          </w:tcPr>
          <w:p w14:paraId="72CA20BF" w14:textId="77777777" w:rsidR="00433650" w:rsidRDefault="00433650" w:rsidP="00433650">
            <w:pPr>
              <w:spacing w:after="0"/>
              <w:rPr>
                <w:lang w:val="en-GB"/>
              </w:rPr>
            </w:pPr>
            <w:r>
              <w:rPr>
                <w:rFonts w:ascii="Calibri" w:hAnsi="Calibri"/>
              </w:rPr>
              <w:t>W</w:t>
            </w:r>
          </w:p>
        </w:tc>
        <w:tc>
          <w:tcPr>
            <w:tcW w:w="1752" w:type="dxa"/>
          </w:tcPr>
          <w:p w14:paraId="4F573E77" w14:textId="77777777" w:rsidR="00433650" w:rsidRDefault="00433650" w:rsidP="00433650">
            <w:pPr>
              <w:spacing w:after="0"/>
              <w:rPr>
                <w:lang w:val="en-GB"/>
              </w:rPr>
            </w:pPr>
            <w:r>
              <w:rPr>
                <w:rFonts w:ascii="Calibri" w:hAnsi="Calibri"/>
              </w:rPr>
              <w:t>Test specific</w:t>
            </w:r>
          </w:p>
        </w:tc>
        <w:tc>
          <w:tcPr>
            <w:tcW w:w="1752" w:type="dxa"/>
          </w:tcPr>
          <w:p w14:paraId="10CB0710" w14:textId="17052A3C" w:rsidR="00433650" w:rsidRDefault="00433650" w:rsidP="00433650">
            <w:pPr>
              <w:spacing w:after="0"/>
              <w:rPr>
                <w:rFonts w:ascii="Calibri" w:hAnsi="Calibri"/>
              </w:rPr>
            </w:pPr>
            <w:r>
              <w:rPr>
                <w:rFonts w:ascii="Calibri" w:hAnsi="Calibri"/>
              </w:rPr>
              <w:t>Test specific</w:t>
            </w:r>
          </w:p>
        </w:tc>
        <w:tc>
          <w:tcPr>
            <w:tcW w:w="1753" w:type="dxa"/>
          </w:tcPr>
          <w:p w14:paraId="1D9EA651" w14:textId="2089AFB0" w:rsidR="00433650" w:rsidRDefault="00433650" w:rsidP="00433650">
            <w:pPr>
              <w:spacing w:after="0"/>
              <w:rPr>
                <w:rFonts w:ascii="Calibri" w:hAnsi="Calibri"/>
              </w:rPr>
            </w:pPr>
            <w:r>
              <w:rPr>
                <w:rFonts w:ascii="Calibri" w:hAnsi="Calibri"/>
              </w:rPr>
              <w:t>Test specific</w:t>
            </w:r>
          </w:p>
        </w:tc>
      </w:tr>
      <w:tr w:rsidR="00433650" w14:paraId="357BAC13" w14:textId="33D3A62F" w:rsidTr="00F03680">
        <w:tc>
          <w:tcPr>
            <w:tcW w:w="3775" w:type="dxa"/>
          </w:tcPr>
          <w:p w14:paraId="79D0C112" w14:textId="77777777" w:rsidR="00433650" w:rsidRDefault="00433650" w:rsidP="00433650">
            <w:pPr>
              <w:spacing w:after="0"/>
              <w:rPr>
                <w:lang w:val="en-GB"/>
              </w:rPr>
            </w:pPr>
            <w:r>
              <w:rPr>
                <w:rFonts w:ascii="Calibri" w:hAnsi="Calibri"/>
              </w:rPr>
              <w:t>EPRE ratio of PSS to SSS</w:t>
            </w:r>
          </w:p>
        </w:tc>
        <w:tc>
          <w:tcPr>
            <w:tcW w:w="597" w:type="dxa"/>
          </w:tcPr>
          <w:p w14:paraId="588BBE82" w14:textId="77777777" w:rsidR="00433650" w:rsidRDefault="00433650" w:rsidP="00433650">
            <w:pPr>
              <w:spacing w:after="0"/>
              <w:rPr>
                <w:lang w:val="en-GB"/>
              </w:rPr>
            </w:pPr>
            <w:r>
              <w:rPr>
                <w:rFonts w:ascii="Calibri" w:hAnsi="Calibri"/>
              </w:rPr>
              <w:t>dB</w:t>
            </w:r>
          </w:p>
        </w:tc>
        <w:tc>
          <w:tcPr>
            <w:tcW w:w="1752" w:type="dxa"/>
          </w:tcPr>
          <w:p w14:paraId="04185B85" w14:textId="77777777" w:rsidR="00433650" w:rsidRDefault="00433650" w:rsidP="00433650">
            <w:pPr>
              <w:spacing w:after="0"/>
              <w:rPr>
                <w:lang w:val="en-GB"/>
              </w:rPr>
            </w:pPr>
            <w:r>
              <w:rPr>
                <w:rFonts w:ascii="Calibri" w:hAnsi="Calibri"/>
              </w:rPr>
              <w:t>0</w:t>
            </w:r>
          </w:p>
        </w:tc>
        <w:tc>
          <w:tcPr>
            <w:tcW w:w="1752" w:type="dxa"/>
          </w:tcPr>
          <w:p w14:paraId="0A053DE1" w14:textId="3C31EFE7" w:rsidR="00433650" w:rsidRDefault="00433650" w:rsidP="00433650">
            <w:pPr>
              <w:spacing w:after="0"/>
              <w:rPr>
                <w:rFonts w:ascii="Calibri" w:hAnsi="Calibri"/>
              </w:rPr>
            </w:pPr>
            <w:r>
              <w:rPr>
                <w:rFonts w:ascii="Calibri" w:hAnsi="Calibri"/>
              </w:rPr>
              <w:t>0</w:t>
            </w:r>
          </w:p>
        </w:tc>
        <w:tc>
          <w:tcPr>
            <w:tcW w:w="1753" w:type="dxa"/>
          </w:tcPr>
          <w:p w14:paraId="599B31CA" w14:textId="5D25B64C" w:rsidR="00433650" w:rsidRDefault="00433650" w:rsidP="00433650">
            <w:pPr>
              <w:spacing w:after="0"/>
              <w:rPr>
                <w:rFonts w:ascii="Calibri" w:hAnsi="Calibri"/>
              </w:rPr>
            </w:pPr>
            <w:r>
              <w:rPr>
                <w:rFonts w:ascii="Calibri" w:hAnsi="Calibri"/>
              </w:rPr>
              <w:t>0</w:t>
            </w:r>
          </w:p>
        </w:tc>
      </w:tr>
      <w:tr w:rsidR="00433650" w14:paraId="73BC512E" w14:textId="13615722" w:rsidTr="00F03680">
        <w:tc>
          <w:tcPr>
            <w:tcW w:w="3775" w:type="dxa"/>
          </w:tcPr>
          <w:p w14:paraId="64851590" w14:textId="77777777" w:rsidR="00433650" w:rsidRDefault="00433650" w:rsidP="00433650">
            <w:pPr>
              <w:spacing w:after="0"/>
              <w:rPr>
                <w:lang w:val="en-GB"/>
              </w:rPr>
            </w:pPr>
            <w:r>
              <w:rPr>
                <w:rFonts w:ascii="Calibri" w:hAnsi="Calibri"/>
              </w:rPr>
              <w:t>EPRE ratio of PBCH DMRS to SSS</w:t>
            </w:r>
          </w:p>
        </w:tc>
        <w:tc>
          <w:tcPr>
            <w:tcW w:w="597" w:type="dxa"/>
          </w:tcPr>
          <w:p w14:paraId="60992C26" w14:textId="77777777" w:rsidR="00433650" w:rsidRDefault="00433650" w:rsidP="00433650">
            <w:pPr>
              <w:spacing w:after="0"/>
              <w:rPr>
                <w:lang w:val="en-GB"/>
              </w:rPr>
            </w:pPr>
            <w:r>
              <w:rPr>
                <w:rFonts w:ascii="Calibri" w:hAnsi="Calibri"/>
              </w:rPr>
              <w:t>dB</w:t>
            </w:r>
          </w:p>
        </w:tc>
        <w:tc>
          <w:tcPr>
            <w:tcW w:w="1752" w:type="dxa"/>
          </w:tcPr>
          <w:p w14:paraId="6F3F8ACA" w14:textId="77777777" w:rsidR="00433650" w:rsidRDefault="00433650" w:rsidP="00433650">
            <w:pPr>
              <w:spacing w:after="0"/>
              <w:rPr>
                <w:lang w:val="en-GB"/>
              </w:rPr>
            </w:pPr>
            <w:r>
              <w:rPr>
                <w:rFonts w:ascii="Calibri" w:hAnsi="Calibri"/>
              </w:rPr>
              <w:t>0</w:t>
            </w:r>
          </w:p>
        </w:tc>
        <w:tc>
          <w:tcPr>
            <w:tcW w:w="1752" w:type="dxa"/>
          </w:tcPr>
          <w:p w14:paraId="5C388613" w14:textId="62CD3BEB" w:rsidR="00433650" w:rsidRDefault="00433650" w:rsidP="00433650">
            <w:pPr>
              <w:spacing w:after="0"/>
              <w:rPr>
                <w:rFonts w:ascii="Calibri" w:hAnsi="Calibri"/>
              </w:rPr>
            </w:pPr>
            <w:r>
              <w:rPr>
                <w:rFonts w:ascii="Calibri" w:hAnsi="Calibri"/>
              </w:rPr>
              <w:t>0</w:t>
            </w:r>
          </w:p>
        </w:tc>
        <w:tc>
          <w:tcPr>
            <w:tcW w:w="1753" w:type="dxa"/>
          </w:tcPr>
          <w:p w14:paraId="18586734" w14:textId="0ACF66C4" w:rsidR="00433650" w:rsidRDefault="00433650" w:rsidP="00433650">
            <w:pPr>
              <w:spacing w:after="0"/>
              <w:rPr>
                <w:rFonts w:ascii="Calibri" w:hAnsi="Calibri"/>
              </w:rPr>
            </w:pPr>
            <w:r>
              <w:rPr>
                <w:rFonts w:ascii="Calibri" w:hAnsi="Calibri"/>
              </w:rPr>
              <w:t>0</w:t>
            </w:r>
          </w:p>
        </w:tc>
      </w:tr>
      <w:tr w:rsidR="00433650" w14:paraId="68FD18B8" w14:textId="21766EC2" w:rsidTr="00F03680">
        <w:tc>
          <w:tcPr>
            <w:tcW w:w="3775" w:type="dxa"/>
          </w:tcPr>
          <w:p w14:paraId="1A833DD6" w14:textId="77777777" w:rsidR="00433650" w:rsidRDefault="00433650" w:rsidP="00433650">
            <w:pPr>
              <w:spacing w:after="0"/>
              <w:rPr>
                <w:lang w:val="en-GB"/>
              </w:rPr>
            </w:pPr>
            <w:r>
              <w:rPr>
                <w:rFonts w:ascii="Calibri" w:hAnsi="Calibri"/>
              </w:rPr>
              <w:t>EPRE ratio of PBCH to PBCH DMRS</w:t>
            </w:r>
          </w:p>
        </w:tc>
        <w:tc>
          <w:tcPr>
            <w:tcW w:w="597" w:type="dxa"/>
          </w:tcPr>
          <w:p w14:paraId="37E7F26A" w14:textId="77777777" w:rsidR="00433650" w:rsidRDefault="00433650" w:rsidP="00433650">
            <w:pPr>
              <w:spacing w:after="0"/>
              <w:rPr>
                <w:lang w:val="en-GB"/>
              </w:rPr>
            </w:pPr>
            <w:r>
              <w:rPr>
                <w:rFonts w:ascii="Calibri" w:hAnsi="Calibri"/>
              </w:rPr>
              <w:t>dB</w:t>
            </w:r>
          </w:p>
        </w:tc>
        <w:tc>
          <w:tcPr>
            <w:tcW w:w="1752" w:type="dxa"/>
          </w:tcPr>
          <w:p w14:paraId="584BA4C6" w14:textId="77777777" w:rsidR="00433650" w:rsidRDefault="00433650" w:rsidP="00433650">
            <w:pPr>
              <w:spacing w:after="0"/>
              <w:rPr>
                <w:lang w:val="en-GB"/>
              </w:rPr>
            </w:pPr>
            <w:r>
              <w:rPr>
                <w:rFonts w:ascii="Calibri" w:hAnsi="Calibri"/>
              </w:rPr>
              <w:t>0</w:t>
            </w:r>
          </w:p>
        </w:tc>
        <w:tc>
          <w:tcPr>
            <w:tcW w:w="1752" w:type="dxa"/>
          </w:tcPr>
          <w:p w14:paraId="43FC20A3" w14:textId="76809FC0" w:rsidR="00433650" w:rsidRDefault="00433650" w:rsidP="00433650">
            <w:pPr>
              <w:spacing w:after="0"/>
              <w:rPr>
                <w:rFonts w:ascii="Calibri" w:hAnsi="Calibri"/>
              </w:rPr>
            </w:pPr>
            <w:r>
              <w:rPr>
                <w:rFonts w:ascii="Calibri" w:hAnsi="Calibri"/>
              </w:rPr>
              <w:t>0</w:t>
            </w:r>
          </w:p>
        </w:tc>
        <w:tc>
          <w:tcPr>
            <w:tcW w:w="1753" w:type="dxa"/>
          </w:tcPr>
          <w:p w14:paraId="5783C29F" w14:textId="51A628EC" w:rsidR="00433650" w:rsidRDefault="00433650" w:rsidP="00433650">
            <w:pPr>
              <w:spacing w:after="0"/>
              <w:rPr>
                <w:rFonts w:ascii="Calibri" w:hAnsi="Calibri"/>
              </w:rPr>
            </w:pPr>
            <w:r>
              <w:rPr>
                <w:rFonts w:ascii="Calibri" w:hAnsi="Calibri"/>
              </w:rPr>
              <w:t>0</w:t>
            </w:r>
          </w:p>
        </w:tc>
      </w:tr>
      <w:tr w:rsidR="00433650" w14:paraId="62A8D45D" w14:textId="763A698F" w:rsidTr="00F03680">
        <w:tc>
          <w:tcPr>
            <w:tcW w:w="3775" w:type="dxa"/>
          </w:tcPr>
          <w:p w14:paraId="50AA2E0C" w14:textId="77777777" w:rsidR="00433650" w:rsidRDefault="00433650" w:rsidP="00433650">
            <w:pPr>
              <w:spacing w:after="0"/>
              <w:rPr>
                <w:lang w:val="en-GB"/>
              </w:rPr>
            </w:pPr>
            <w:r>
              <w:rPr>
                <w:rFonts w:ascii="Calibri" w:hAnsi="Calibri"/>
              </w:rPr>
              <w:t>EPRE ratio of PDCCH DMRS to SSS</w:t>
            </w:r>
          </w:p>
        </w:tc>
        <w:tc>
          <w:tcPr>
            <w:tcW w:w="597" w:type="dxa"/>
          </w:tcPr>
          <w:p w14:paraId="2BB56F15" w14:textId="77777777" w:rsidR="00433650" w:rsidRDefault="00433650" w:rsidP="00433650">
            <w:pPr>
              <w:spacing w:after="0"/>
              <w:rPr>
                <w:lang w:val="en-GB"/>
              </w:rPr>
            </w:pPr>
            <w:r>
              <w:rPr>
                <w:rFonts w:ascii="Calibri" w:hAnsi="Calibri"/>
              </w:rPr>
              <w:t>dB</w:t>
            </w:r>
          </w:p>
        </w:tc>
        <w:tc>
          <w:tcPr>
            <w:tcW w:w="1752" w:type="dxa"/>
          </w:tcPr>
          <w:p w14:paraId="6A73419B" w14:textId="77777777" w:rsidR="00433650" w:rsidRDefault="00433650" w:rsidP="00433650">
            <w:pPr>
              <w:spacing w:after="0"/>
              <w:rPr>
                <w:lang w:val="en-GB"/>
              </w:rPr>
            </w:pPr>
            <w:r>
              <w:rPr>
                <w:rFonts w:ascii="Calibri" w:hAnsi="Calibri"/>
              </w:rPr>
              <w:t>0</w:t>
            </w:r>
          </w:p>
        </w:tc>
        <w:tc>
          <w:tcPr>
            <w:tcW w:w="1752" w:type="dxa"/>
          </w:tcPr>
          <w:p w14:paraId="277F7636" w14:textId="772F552F" w:rsidR="00433650" w:rsidRDefault="00433650" w:rsidP="00433650">
            <w:pPr>
              <w:spacing w:after="0"/>
              <w:rPr>
                <w:rFonts w:ascii="Calibri" w:hAnsi="Calibri"/>
              </w:rPr>
            </w:pPr>
            <w:r>
              <w:rPr>
                <w:rFonts w:ascii="Calibri" w:hAnsi="Calibri"/>
              </w:rPr>
              <w:t>4</w:t>
            </w:r>
          </w:p>
        </w:tc>
        <w:tc>
          <w:tcPr>
            <w:tcW w:w="1753" w:type="dxa"/>
          </w:tcPr>
          <w:p w14:paraId="39F08C7C" w14:textId="5C70793A" w:rsidR="00433650" w:rsidRDefault="00433650" w:rsidP="00433650">
            <w:pPr>
              <w:spacing w:after="0"/>
              <w:rPr>
                <w:rFonts w:ascii="Calibri" w:hAnsi="Calibri"/>
              </w:rPr>
            </w:pPr>
            <w:r>
              <w:rPr>
                <w:rFonts w:ascii="Calibri" w:hAnsi="Calibri"/>
              </w:rPr>
              <w:t>4</w:t>
            </w:r>
          </w:p>
        </w:tc>
      </w:tr>
      <w:tr w:rsidR="00433650" w14:paraId="7E5EB726" w14:textId="3F008519" w:rsidTr="00F03680">
        <w:tc>
          <w:tcPr>
            <w:tcW w:w="3775" w:type="dxa"/>
          </w:tcPr>
          <w:p w14:paraId="01E7D3B3" w14:textId="77777777" w:rsidR="00433650" w:rsidRDefault="00433650" w:rsidP="00433650">
            <w:pPr>
              <w:spacing w:after="0"/>
              <w:rPr>
                <w:lang w:val="en-GB"/>
              </w:rPr>
            </w:pPr>
            <w:r>
              <w:rPr>
                <w:rFonts w:ascii="Calibri" w:hAnsi="Calibri"/>
              </w:rPr>
              <w:t>EPRE ratio of PDCCH to PDCCH DMRS</w:t>
            </w:r>
          </w:p>
        </w:tc>
        <w:tc>
          <w:tcPr>
            <w:tcW w:w="597" w:type="dxa"/>
          </w:tcPr>
          <w:p w14:paraId="35B11A53" w14:textId="77777777" w:rsidR="00433650" w:rsidRDefault="00433650" w:rsidP="00433650">
            <w:pPr>
              <w:spacing w:after="0"/>
              <w:rPr>
                <w:lang w:val="en-GB"/>
              </w:rPr>
            </w:pPr>
            <w:r>
              <w:rPr>
                <w:rFonts w:ascii="Calibri" w:hAnsi="Calibri"/>
              </w:rPr>
              <w:t>dB</w:t>
            </w:r>
          </w:p>
        </w:tc>
        <w:tc>
          <w:tcPr>
            <w:tcW w:w="1752" w:type="dxa"/>
          </w:tcPr>
          <w:p w14:paraId="664BA0A5" w14:textId="77777777" w:rsidR="00433650" w:rsidRDefault="00433650" w:rsidP="00433650">
            <w:pPr>
              <w:spacing w:after="0"/>
              <w:rPr>
                <w:lang w:val="en-GB"/>
              </w:rPr>
            </w:pPr>
            <w:r>
              <w:rPr>
                <w:rFonts w:ascii="Calibri" w:hAnsi="Calibri"/>
              </w:rPr>
              <w:t>0</w:t>
            </w:r>
          </w:p>
        </w:tc>
        <w:tc>
          <w:tcPr>
            <w:tcW w:w="1752" w:type="dxa"/>
          </w:tcPr>
          <w:p w14:paraId="585D7EA3" w14:textId="2734E7A1" w:rsidR="00433650" w:rsidRDefault="00433650" w:rsidP="00433650">
            <w:pPr>
              <w:spacing w:after="0"/>
              <w:rPr>
                <w:rFonts w:ascii="Calibri" w:hAnsi="Calibri"/>
              </w:rPr>
            </w:pPr>
            <w:r>
              <w:rPr>
                <w:rFonts w:ascii="Calibri" w:hAnsi="Calibri"/>
              </w:rPr>
              <w:t>0</w:t>
            </w:r>
          </w:p>
        </w:tc>
        <w:tc>
          <w:tcPr>
            <w:tcW w:w="1753" w:type="dxa"/>
          </w:tcPr>
          <w:p w14:paraId="11FEE31B" w14:textId="22DC7FA6" w:rsidR="00433650" w:rsidRDefault="00433650" w:rsidP="00433650">
            <w:pPr>
              <w:spacing w:after="0"/>
              <w:rPr>
                <w:rFonts w:ascii="Calibri" w:hAnsi="Calibri"/>
              </w:rPr>
            </w:pPr>
            <w:r>
              <w:rPr>
                <w:rFonts w:ascii="Calibri" w:hAnsi="Calibri"/>
              </w:rPr>
              <w:t>0</w:t>
            </w:r>
          </w:p>
        </w:tc>
      </w:tr>
      <w:tr w:rsidR="00433650" w14:paraId="1B86D27A" w14:textId="084BAAE9" w:rsidTr="00F03680">
        <w:tc>
          <w:tcPr>
            <w:tcW w:w="3775" w:type="dxa"/>
          </w:tcPr>
          <w:p w14:paraId="12A52B83" w14:textId="77777777" w:rsidR="00433650" w:rsidRDefault="00433650" w:rsidP="00433650">
            <w:pPr>
              <w:spacing w:after="0"/>
              <w:rPr>
                <w:lang w:val="en-GB"/>
              </w:rPr>
            </w:pPr>
            <w:r>
              <w:rPr>
                <w:rFonts w:ascii="Calibri" w:hAnsi="Calibri"/>
              </w:rPr>
              <w:t>EPRE ratio of PDSCH DMRS to SSS</w:t>
            </w:r>
          </w:p>
        </w:tc>
        <w:tc>
          <w:tcPr>
            <w:tcW w:w="597" w:type="dxa"/>
          </w:tcPr>
          <w:p w14:paraId="6582FA0F" w14:textId="77777777" w:rsidR="00433650" w:rsidRDefault="00433650" w:rsidP="00433650">
            <w:pPr>
              <w:spacing w:after="0"/>
              <w:rPr>
                <w:lang w:val="en-GB"/>
              </w:rPr>
            </w:pPr>
            <w:r>
              <w:rPr>
                <w:rFonts w:ascii="Calibri" w:hAnsi="Calibri"/>
              </w:rPr>
              <w:t>dB</w:t>
            </w:r>
          </w:p>
        </w:tc>
        <w:tc>
          <w:tcPr>
            <w:tcW w:w="1752" w:type="dxa"/>
          </w:tcPr>
          <w:p w14:paraId="6CBFF780" w14:textId="77777777" w:rsidR="00433650" w:rsidRDefault="00433650" w:rsidP="00433650">
            <w:pPr>
              <w:spacing w:after="0"/>
              <w:rPr>
                <w:lang w:val="en-GB"/>
              </w:rPr>
            </w:pPr>
            <w:r>
              <w:rPr>
                <w:rFonts w:ascii="Calibri" w:hAnsi="Calibri"/>
              </w:rPr>
              <w:t>0</w:t>
            </w:r>
          </w:p>
        </w:tc>
        <w:tc>
          <w:tcPr>
            <w:tcW w:w="1752" w:type="dxa"/>
          </w:tcPr>
          <w:p w14:paraId="05E181EE" w14:textId="2BDEB1E4" w:rsidR="00433650" w:rsidRDefault="00433650" w:rsidP="00433650">
            <w:pPr>
              <w:spacing w:after="0"/>
              <w:rPr>
                <w:rFonts w:ascii="Calibri" w:hAnsi="Calibri"/>
              </w:rPr>
            </w:pPr>
            <w:r>
              <w:rPr>
                <w:rFonts w:ascii="Calibri" w:hAnsi="Calibri"/>
              </w:rPr>
              <w:t>0</w:t>
            </w:r>
          </w:p>
        </w:tc>
        <w:tc>
          <w:tcPr>
            <w:tcW w:w="1753" w:type="dxa"/>
          </w:tcPr>
          <w:p w14:paraId="59E86D88" w14:textId="3A284561" w:rsidR="00433650" w:rsidRDefault="00433650" w:rsidP="00433650">
            <w:pPr>
              <w:spacing w:after="0"/>
              <w:rPr>
                <w:rFonts w:ascii="Calibri" w:hAnsi="Calibri"/>
              </w:rPr>
            </w:pPr>
            <w:r>
              <w:rPr>
                <w:rFonts w:ascii="Calibri" w:hAnsi="Calibri"/>
              </w:rPr>
              <w:t>0</w:t>
            </w:r>
          </w:p>
        </w:tc>
      </w:tr>
      <w:tr w:rsidR="00433650" w14:paraId="4E880A77" w14:textId="1EB86881" w:rsidTr="00F03680">
        <w:tc>
          <w:tcPr>
            <w:tcW w:w="3775" w:type="dxa"/>
          </w:tcPr>
          <w:p w14:paraId="1E45583B" w14:textId="77777777" w:rsidR="00433650" w:rsidRDefault="00433650" w:rsidP="00433650">
            <w:pPr>
              <w:spacing w:after="0"/>
              <w:rPr>
                <w:lang w:val="en-GB"/>
              </w:rPr>
            </w:pPr>
            <w:r>
              <w:rPr>
                <w:rFonts w:ascii="Calibri" w:hAnsi="Calibri"/>
              </w:rPr>
              <w:t>EPRE ratio of PDSCH to PDSCH DMRS</w:t>
            </w:r>
          </w:p>
        </w:tc>
        <w:tc>
          <w:tcPr>
            <w:tcW w:w="597" w:type="dxa"/>
          </w:tcPr>
          <w:p w14:paraId="655694F7" w14:textId="77777777" w:rsidR="00433650" w:rsidRDefault="00433650" w:rsidP="00433650">
            <w:pPr>
              <w:spacing w:after="0"/>
              <w:rPr>
                <w:lang w:val="en-GB"/>
              </w:rPr>
            </w:pPr>
            <w:r>
              <w:rPr>
                <w:rFonts w:ascii="Calibri" w:hAnsi="Calibri"/>
              </w:rPr>
              <w:t>dB</w:t>
            </w:r>
          </w:p>
        </w:tc>
        <w:tc>
          <w:tcPr>
            <w:tcW w:w="1752" w:type="dxa"/>
          </w:tcPr>
          <w:p w14:paraId="459DB726" w14:textId="77777777" w:rsidR="00433650" w:rsidRDefault="00433650" w:rsidP="00433650">
            <w:pPr>
              <w:spacing w:after="0"/>
              <w:rPr>
                <w:lang w:val="en-GB"/>
              </w:rPr>
            </w:pPr>
            <w:r>
              <w:rPr>
                <w:rFonts w:ascii="Calibri" w:hAnsi="Calibri"/>
              </w:rPr>
              <w:t>Test specific</w:t>
            </w:r>
          </w:p>
        </w:tc>
        <w:tc>
          <w:tcPr>
            <w:tcW w:w="1752" w:type="dxa"/>
          </w:tcPr>
          <w:p w14:paraId="47BA17B5" w14:textId="195B4D06" w:rsidR="00433650" w:rsidRDefault="00433650" w:rsidP="00433650">
            <w:pPr>
              <w:spacing w:after="0"/>
              <w:rPr>
                <w:rFonts w:ascii="Calibri" w:hAnsi="Calibri"/>
              </w:rPr>
            </w:pPr>
            <w:r>
              <w:rPr>
                <w:rFonts w:ascii="Calibri" w:hAnsi="Calibri"/>
              </w:rPr>
              <w:t>Test specific</w:t>
            </w:r>
          </w:p>
        </w:tc>
        <w:tc>
          <w:tcPr>
            <w:tcW w:w="1753" w:type="dxa"/>
          </w:tcPr>
          <w:p w14:paraId="238DD80F" w14:textId="35FA6937" w:rsidR="00433650" w:rsidRDefault="00433650" w:rsidP="00433650">
            <w:pPr>
              <w:spacing w:after="0"/>
              <w:rPr>
                <w:rFonts w:ascii="Calibri" w:hAnsi="Calibri"/>
              </w:rPr>
            </w:pPr>
            <w:r>
              <w:rPr>
                <w:rFonts w:ascii="Calibri" w:hAnsi="Calibri"/>
              </w:rPr>
              <w:t>Test specific</w:t>
            </w:r>
          </w:p>
        </w:tc>
      </w:tr>
      <w:tr w:rsidR="00433650" w14:paraId="69390639" w14:textId="721F8A2E" w:rsidTr="00F03680">
        <w:tc>
          <w:tcPr>
            <w:tcW w:w="3775" w:type="dxa"/>
          </w:tcPr>
          <w:p w14:paraId="54065304" w14:textId="77777777" w:rsidR="00433650" w:rsidRDefault="00433650" w:rsidP="00433650">
            <w:pPr>
              <w:spacing w:after="0"/>
              <w:rPr>
                <w:lang w:val="en-GB"/>
              </w:rPr>
            </w:pPr>
            <w:r>
              <w:rPr>
                <w:rFonts w:ascii="Calibri" w:hAnsi="Calibri"/>
              </w:rPr>
              <w:t>EPRE ratio of CSI-RS to SSS</w:t>
            </w:r>
          </w:p>
        </w:tc>
        <w:tc>
          <w:tcPr>
            <w:tcW w:w="597" w:type="dxa"/>
          </w:tcPr>
          <w:p w14:paraId="11ABADDA" w14:textId="77777777" w:rsidR="00433650" w:rsidRDefault="00433650" w:rsidP="00433650">
            <w:pPr>
              <w:spacing w:after="0"/>
              <w:rPr>
                <w:lang w:val="en-GB"/>
              </w:rPr>
            </w:pPr>
            <w:r>
              <w:rPr>
                <w:rFonts w:ascii="Calibri" w:hAnsi="Calibri"/>
              </w:rPr>
              <w:t>dB</w:t>
            </w:r>
          </w:p>
        </w:tc>
        <w:tc>
          <w:tcPr>
            <w:tcW w:w="1752" w:type="dxa"/>
          </w:tcPr>
          <w:p w14:paraId="02393F2B" w14:textId="77777777" w:rsidR="00433650" w:rsidRDefault="00433650" w:rsidP="00433650">
            <w:pPr>
              <w:spacing w:after="0"/>
              <w:rPr>
                <w:lang w:val="en-GB"/>
              </w:rPr>
            </w:pPr>
            <w:r>
              <w:rPr>
                <w:rFonts w:ascii="Calibri" w:hAnsi="Calibri"/>
              </w:rPr>
              <w:t>0</w:t>
            </w:r>
          </w:p>
        </w:tc>
        <w:tc>
          <w:tcPr>
            <w:tcW w:w="1752" w:type="dxa"/>
          </w:tcPr>
          <w:p w14:paraId="204F2844" w14:textId="5EA6A6CF" w:rsidR="00433650" w:rsidRDefault="00433650" w:rsidP="00433650">
            <w:pPr>
              <w:spacing w:after="0"/>
              <w:rPr>
                <w:rFonts w:ascii="Calibri" w:hAnsi="Calibri"/>
              </w:rPr>
            </w:pPr>
            <w:r>
              <w:rPr>
                <w:rFonts w:ascii="Calibri" w:hAnsi="Calibri"/>
              </w:rPr>
              <w:t>0</w:t>
            </w:r>
          </w:p>
        </w:tc>
        <w:tc>
          <w:tcPr>
            <w:tcW w:w="1753" w:type="dxa"/>
          </w:tcPr>
          <w:p w14:paraId="3F050DCF" w14:textId="62A327B0" w:rsidR="00433650" w:rsidRDefault="00433650" w:rsidP="00433650">
            <w:pPr>
              <w:spacing w:after="0"/>
              <w:rPr>
                <w:rFonts w:ascii="Calibri" w:hAnsi="Calibri"/>
              </w:rPr>
            </w:pPr>
            <w:r>
              <w:rPr>
                <w:rFonts w:ascii="Calibri" w:hAnsi="Calibri"/>
              </w:rPr>
              <w:t>0</w:t>
            </w:r>
          </w:p>
        </w:tc>
      </w:tr>
      <w:tr w:rsidR="00433650" w14:paraId="07D79DD7" w14:textId="473E6AB7" w:rsidTr="00F03680">
        <w:tc>
          <w:tcPr>
            <w:tcW w:w="3775" w:type="dxa"/>
          </w:tcPr>
          <w:p w14:paraId="51A34BD3" w14:textId="684C0EE7" w:rsidR="00433650" w:rsidRDefault="00433650" w:rsidP="00433650">
            <w:pPr>
              <w:spacing w:after="0"/>
              <w:rPr>
                <w:rFonts w:ascii="Calibri" w:hAnsi="Calibri"/>
              </w:rPr>
            </w:pPr>
            <w:r>
              <w:rPr>
                <w:rFonts w:ascii="Calibri" w:hAnsi="Calibri"/>
              </w:rPr>
              <w:t>EPRE ratio of OCNG DMRS to SSS</w:t>
            </w:r>
          </w:p>
        </w:tc>
        <w:tc>
          <w:tcPr>
            <w:tcW w:w="597" w:type="dxa"/>
          </w:tcPr>
          <w:p w14:paraId="00A0B40D" w14:textId="0502076D" w:rsidR="00433650" w:rsidRDefault="00433650" w:rsidP="00433650">
            <w:pPr>
              <w:spacing w:after="0"/>
              <w:rPr>
                <w:rFonts w:ascii="Calibri" w:hAnsi="Calibri"/>
              </w:rPr>
            </w:pPr>
            <w:r>
              <w:rPr>
                <w:rFonts w:ascii="Calibri" w:hAnsi="Calibri"/>
              </w:rPr>
              <w:t>dB</w:t>
            </w:r>
          </w:p>
        </w:tc>
        <w:tc>
          <w:tcPr>
            <w:tcW w:w="1752" w:type="dxa"/>
          </w:tcPr>
          <w:p w14:paraId="3027F465" w14:textId="39E391D4" w:rsidR="00433650" w:rsidRDefault="00433650" w:rsidP="00433650">
            <w:pPr>
              <w:spacing w:after="0"/>
              <w:rPr>
                <w:rFonts w:ascii="Calibri" w:hAnsi="Calibri"/>
              </w:rPr>
            </w:pPr>
            <w:r>
              <w:rPr>
                <w:rFonts w:ascii="Calibri" w:hAnsi="Calibri"/>
              </w:rPr>
              <w:t>0</w:t>
            </w:r>
          </w:p>
        </w:tc>
        <w:tc>
          <w:tcPr>
            <w:tcW w:w="1752" w:type="dxa"/>
          </w:tcPr>
          <w:p w14:paraId="0C3B4CA6" w14:textId="3A5A45EA" w:rsidR="00433650" w:rsidRDefault="00433650" w:rsidP="00433650">
            <w:pPr>
              <w:spacing w:after="0"/>
              <w:rPr>
                <w:rFonts w:ascii="Calibri" w:hAnsi="Calibri"/>
              </w:rPr>
            </w:pPr>
            <w:r>
              <w:rPr>
                <w:rFonts w:ascii="Calibri" w:hAnsi="Calibri"/>
              </w:rPr>
              <w:t>0</w:t>
            </w:r>
          </w:p>
        </w:tc>
        <w:tc>
          <w:tcPr>
            <w:tcW w:w="1753" w:type="dxa"/>
          </w:tcPr>
          <w:p w14:paraId="4090CFE3" w14:textId="28367A6F" w:rsidR="00433650" w:rsidRDefault="00433650" w:rsidP="00433650">
            <w:pPr>
              <w:spacing w:after="0"/>
              <w:rPr>
                <w:rFonts w:ascii="Calibri" w:hAnsi="Calibri"/>
              </w:rPr>
            </w:pPr>
            <w:r>
              <w:rPr>
                <w:rFonts w:ascii="Calibri" w:hAnsi="Calibri"/>
              </w:rPr>
              <w:t>0</w:t>
            </w:r>
          </w:p>
        </w:tc>
      </w:tr>
      <w:tr w:rsidR="00433650" w14:paraId="1CF6F7C6" w14:textId="7632D9AE" w:rsidTr="00F03680">
        <w:tc>
          <w:tcPr>
            <w:tcW w:w="3775" w:type="dxa"/>
          </w:tcPr>
          <w:p w14:paraId="00BA9A25" w14:textId="71881440" w:rsidR="00433650" w:rsidRDefault="00433650" w:rsidP="00433650">
            <w:pPr>
              <w:spacing w:after="0"/>
              <w:rPr>
                <w:rFonts w:ascii="Calibri" w:hAnsi="Calibri"/>
              </w:rPr>
            </w:pPr>
            <w:r>
              <w:rPr>
                <w:rFonts w:ascii="Calibri" w:hAnsi="Calibri"/>
              </w:rPr>
              <w:t>EPRE ratio of OCNG to OCNG DMRS</w:t>
            </w:r>
            <w:r w:rsidR="00DB119A">
              <w:rPr>
                <w:rFonts w:ascii="Calibri" w:hAnsi="Calibri"/>
              </w:rPr>
              <w:t xml:space="preserve"> (Note 1)</w:t>
            </w:r>
          </w:p>
        </w:tc>
        <w:tc>
          <w:tcPr>
            <w:tcW w:w="597" w:type="dxa"/>
          </w:tcPr>
          <w:p w14:paraId="11B82768" w14:textId="7330C6D0" w:rsidR="00433650" w:rsidRDefault="00433650" w:rsidP="00433650">
            <w:pPr>
              <w:spacing w:after="0"/>
              <w:rPr>
                <w:rFonts w:ascii="Calibri" w:hAnsi="Calibri"/>
              </w:rPr>
            </w:pPr>
            <w:r>
              <w:rPr>
                <w:rFonts w:ascii="Calibri" w:hAnsi="Calibri"/>
              </w:rPr>
              <w:t>dB</w:t>
            </w:r>
          </w:p>
        </w:tc>
        <w:tc>
          <w:tcPr>
            <w:tcW w:w="1752" w:type="dxa"/>
          </w:tcPr>
          <w:p w14:paraId="60CC6978" w14:textId="05AB3433" w:rsidR="00433650" w:rsidRDefault="00DB119A" w:rsidP="00433650">
            <w:pPr>
              <w:spacing w:after="0"/>
              <w:rPr>
                <w:rFonts w:ascii="Calibri" w:hAnsi="Calibri"/>
              </w:rPr>
            </w:pPr>
            <w:r>
              <w:rPr>
                <w:rFonts w:ascii="Calibri" w:hAnsi="Calibri"/>
              </w:rPr>
              <w:t>0</w:t>
            </w:r>
          </w:p>
        </w:tc>
        <w:tc>
          <w:tcPr>
            <w:tcW w:w="1752" w:type="dxa"/>
          </w:tcPr>
          <w:p w14:paraId="4A2C9244" w14:textId="1DFA0563" w:rsidR="00433650" w:rsidRDefault="00DB119A" w:rsidP="00433650">
            <w:pPr>
              <w:spacing w:after="0"/>
              <w:rPr>
                <w:rFonts w:ascii="Calibri" w:hAnsi="Calibri"/>
              </w:rPr>
            </w:pPr>
            <w:r>
              <w:rPr>
                <w:rFonts w:ascii="Calibri" w:hAnsi="Calibri"/>
              </w:rPr>
              <w:t>0</w:t>
            </w:r>
          </w:p>
        </w:tc>
        <w:tc>
          <w:tcPr>
            <w:tcW w:w="1753" w:type="dxa"/>
          </w:tcPr>
          <w:p w14:paraId="17D5CFFD" w14:textId="677E6FAC" w:rsidR="00433650" w:rsidRDefault="00DB119A" w:rsidP="00433650">
            <w:pPr>
              <w:spacing w:after="0"/>
              <w:rPr>
                <w:rFonts w:ascii="Calibri" w:hAnsi="Calibri"/>
              </w:rPr>
            </w:pPr>
            <w:r>
              <w:rPr>
                <w:rFonts w:ascii="Calibri" w:hAnsi="Calibri"/>
              </w:rPr>
              <w:t>0</w:t>
            </w:r>
          </w:p>
        </w:tc>
      </w:tr>
      <w:tr w:rsidR="00DB119A" w14:paraId="3DDDFA99" w14:textId="77777777" w:rsidTr="0049219A">
        <w:tc>
          <w:tcPr>
            <w:tcW w:w="9629" w:type="dxa"/>
            <w:gridSpan w:val="5"/>
          </w:tcPr>
          <w:p w14:paraId="6E5E9744" w14:textId="32251051" w:rsidR="00DB119A" w:rsidRDefault="00DB119A" w:rsidP="00DB119A">
            <w:pPr>
              <w:spacing w:after="0"/>
              <w:rPr>
                <w:rFonts w:ascii="Calibri" w:hAnsi="Calibri"/>
              </w:rPr>
            </w:pPr>
            <w:r>
              <w:rPr>
                <w:rFonts w:ascii="Calibri" w:hAnsi="Calibri"/>
              </w:rPr>
              <w:t xml:space="preserve">Note 1: </w:t>
            </w:r>
            <w:r>
              <w:t>Number of DMRS CDM groups without data for PDSCH DMRS configuration for OCNG is set to 1.</w:t>
            </w:r>
          </w:p>
        </w:tc>
      </w:tr>
    </w:tbl>
    <w:p w14:paraId="0EF791CB" w14:textId="0373FD00" w:rsidR="00933FCB" w:rsidRDefault="00933FCB" w:rsidP="00933FCB"/>
    <w:p w14:paraId="13BDA09A" w14:textId="30B6DD90" w:rsidR="00933FCB" w:rsidRDefault="00933FCB" w:rsidP="00933FCB">
      <w:pPr>
        <w:pStyle w:val="Heading2"/>
      </w:pPr>
      <w:r>
        <w:t>2.2</w:t>
      </w:r>
      <w:r>
        <w:tab/>
        <w:t>OCNG</w:t>
      </w:r>
      <w:r w:rsidR="00A90ACA">
        <w:t xml:space="preserve"> relative power level</w:t>
      </w:r>
    </w:p>
    <w:p w14:paraId="7E79A694" w14:textId="3D19E2E9" w:rsidR="00C36157" w:rsidRDefault="00C36157" w:rsidP="00C36157">
      <w:r>
        <w:t xml:space="preserve">LTE </w:t>
      </w:r>
      <w:r w:rsidR="00095E74">
        <w:t>RRM</w:t>
      </w:r>
      <w:r>
        <w:t xml:space="preserve"> requirements specify the o</w:t>
      </w:r>
      <w:r w:rsidR="00BC0F74">
        <w:t>rt</w:t>
      </w:r>
      <w:r w:rsidR="00E6485E">
        <w:t>hogonal channel noise generator (</w:t>
      </w:r>
      <w:r w:rsidR="005544F4">
        <w:t>OCNG</w:t>
      </w:r>
      <w:r w:rsidR="00E6485E">
        <w:t>)</w:t>
      </w:r>
      <w:r w:rsidR="005544F4">
        <w:t xml:space="preserve"> </w:t>
      </w:r>
      <w:r>
        <w:t xml:space="preserve">to model the virtual UE allocation. Since NR also uses OFDMA for DL, NR </w:t>
      </w:r>
      <w:r w:rsidR="00095E74">
        <w:t>RRM test cases</w:t>
      </w:r>
      <w:r>
        <w:t xml:space="preserve"> should </w:t>
      </w:r>
      <w:r w:rsidR="00095E74">
        <w:t xml:space="preserve">also </w:t>
      </w:r>
      <w:r>
        <w:t xml:space="preserve">specify OCNG pattern. </w:t>
      </w:r>
    </w:p>
    <w:p w14:paraId="6DD0B3CB" w14:textId="77777777" w:rsidR="00095E74" w:rsidRDefault="00095E74" w:rsidP="00095E74">
      <w:r>
        <w:t xml:space="preserve">The OCNG pattern for LTE is given by the relative power level γ, given by the ratio of PDSCH </w:t>
      </w:r>
      <w:proofErr w:type="spellStart"/>
      <w:r>
        <w:t>σ</w:t>
      </w:r>
      <w:r w:rsidRPr="005544F4">
        <w:rPr>
          <w:vertAlign w:val="subscript"/>
        </w:rPr>
        <w:t>A</w:t>
      </w:r>
      <w:proofErr w:type="spellEnd"/>
      <w:r>
        <w:t xml:space="preserve"> and OCNG </w:t>
      </w:r>
      <w:proofErr w:type="spellStart"/>
      <w:r>
        <w:t>σ</w:t>
      </w:r>
      <w:r w:rsidRPr="005544F4">
        <w:rPr>
          <w:vertAlign w:val="subscript"/>
        </w:rPr>
        <w:t>A</w:t>
      </w:r>
      <w:proofErr w:type="spellEnd"/>
      <w:r>
        <w:t xml:space="preserve">. On the other hand, as we discussed, NR has no CRS and PDSCH transmission power cannot be set as relative to CRS like </w:t>
      </w:r>
      <w:proofErr w:type="spellStart"/>
      <w:r>
        <w:t>σ</w:t>
      </w:r>
      <w:r w:rsidRPr="005544F4">
        <w:rPr>
          <w:vertAlign w:val="subscript"/>
        </w:rPr>
        <w:t>A</w:t>
      </w:r>
      <w:proofErr w:type="spellEnd"/>
      <w:r>
        <w:t xml:space="preserve"> or </w:t>
      </w:r>
      <w:proofErr w:type="spellStart"/>
      <w:r>
        <w:t>σ</w:t>
      </w:r>
      <w:r w:rsidRPr="005544F4">
        <w:rPr>
          <w:vertAlign w:val="subscript"/>
        </w:rPr>
        <w:t>B</w:t>
      </w:r>
      <w:proofErr w:type="spellEnd"/>
      <w:r>
        <w:t>. Alternatively we propose to define the relative power level of the i-</w:t>
      </w:r>
      <w:proofErr w:type="spellStart"/>
      <w:r>
        <w:t>th</w:t>
      </w:r>
      <w:proofErr w:type="spellEnd"/>
      <w:r>
        <w:t xml:space="preserve"> virtual UE as an </w:t>
      </w:r>
      <w:r w:rsidRPr="007C6619">
        <w:t xml:space="preserve">EPRE ratio of </w:t>
      </w:r>
      <w:proofErr w:type="spellStart"/>
      <w:r w:rsidRPr="007C6619">
        <w:t>PDSCHi</w:t>
      </w:r>
      <w:proofErr w:type="spellEnd"/>
      <w:r w:rsidRPr="007C6619">
        <w:t xml:space="preserve"> to </w:t>
      </w:r>
      <w:proofErr w:type="spellStart"/>
      <w:r w:rsidRPr="007C6619">
        <w:t>PDSCHi</w:t>
      </w:r>
      <w:proofErr w:type="spellEnd"/>
      <w:r w:rsidRPr="007C6619">
        <w:t xml:space="preserve"> DMRS / EPRE ratio of OCNG to OCNG DMRS.</w:t>
      </w:r>
    </w:p>
    <w:p w14:paraId="7135595D" w14:textId="0D812F7F" w:rsidR="005544F4" w:rsidRPr="00EF0633" w:rsidRDefault="00EF0633" w:rsidP="005544F4">
      <w:pPr>
        <w:pStyle w:val="PlainText"/>
        <w:rPr>
          <w:b/>
        </w:rPr>
      </w:pPr>
      <w:r w:rsidRPr="00EF0633">
        <w:rPr>
          <w:b/>
        </w:rPr>
        <w:t xml:space="preserve">Proposal 2: </w:t>
      </w:r>
      <w:r w:rsidR="005544F4" w:rsidRPr="00EF0633">
        <w:rPr>
          <w:b/>
        </w:rPr>
        <w:t>OCN</w:t>
      </w:r>
      <w:r w:rsidR="000952E2">
        <w:rPr>
          <w:b/>
        </w:rPr>
        <w:t>G</w:t>
      </w:r>
      <w:r w:rsidR="005544F4" w:rsidRPr="00EF0633">
        <w:rPr>
          <w:b/>
        </w:rPr>
        <w:t xml:space="preserve"> relative power level of the i-</w:t>
      </w:r>
      <w:proofErr w:type="spellStart"/>
      <w:r w:rsidR="005544F4" w:rsidRPr="00EF0633">
        <w:rPr>
          <w:b/>
        </w:rPr>
        <w:t>th</w:t>
      </w:r>
      <w:proofErr w:type="spellEnd"/>
      <w:r w:rsidR="005544F4" w:rsidRPr="00EF0633">
        <w:rPr>
          <w:b/>
        </w:rPr>
        <w:t xml:space="preserve"> virtual UE is defined as </w:t>
      </w:r>
      <w:proofErr w:type="spellStart"/>
      <w:r w:rsidR="005544F4" w:rsidRPr="00EF0633">
        <w:rPr>
          <w:b/>
        </w:rPr>
        <w:t>γ</w:t>
      </w:r>
      <w:r w:rsidR="005544F4" w:rsidRPr="00EF0633">
        <w:rPr>
          <w:b/>
          <w:vertAlign w:val="subscript"/>
        </w:rPr>
        <w:t>i</w:t>
      </w:r>
      <w:proofErr w:type="spellEnd"/>
      <w:r w:rsidR="005544F4" w:rsidRPr="00EF0633">
        <w:rPr>
          <w:b/>
        </w:rPr>
        <w:t xml:space="preserve"> =</w:t>
      </w:r>
      <w:r w:rsidR="00504A0B" w:rsidRPr="00504A0B">
        <w:rPr>
          <w:b/>
        </w:rPr>
        <w:t xml:space="preserve"> </w:t>
      </w:r>
      <w:r w:rsidR="00504A0B" w:rsidRPr="00EF0633">
        <w:rPr>
          <w:b/>
        </w:rPr>
        <w:t>EPRE</w:t>
      </w:r>
      <w:r w:rsidR="00504A0B">
        <w:rPr>
          <w:b/>
        </w:rPr>
        <w:t xml:space="preserve"> ratio of </w:t>
      </w:r>
      <w:proofErr w:type="spellStart"/>
      <w:r w:rsidR="005544F4" w:rsidRPr="00EF0633">
        <w:rPr>
          <w:b/>
        </w:rPr>
        <w:t>PDSCH</w:t>
      </w:r>
      <w:r w:rsidR="005544F4" w:rsidRPr="00EF0633">
        <w:rPr>
          <w:b/>
          <w:vertAlign w:val="subscript"/>
        </w:rPr>
        <w:t>i</w:t>
      </w:r>
      <w:proofErr w:type="spellEnd"/>
      <w:r w:rsidR="005544F4" w:rsidRPr="00EF0633">
        <w:rPr>
          <w:b/>
        </w:rPr>
        <w:t xml:space="preserve"> </w:t>
      </w:r>
      <w:r w:rsidR="00504A0B">
        <w:rPr>
          <w:b/>
        </w:rPr>
        <w:t xml:space="preserve">to </w:t>
      </w:r>
      <w:proofErr w:type="spellStart"/>
      <w:r w:rsidR="00504A0B" w:rsidRPr="00EF0633">
        <w:rPr>
          <w:b/>
        </w:rPr>
        <w:t>PDSCH</w:t>
      </w:r>
      <w:r w:rsidR="00504A0B" w:rsidRPr="00EF0633">
        <w:rPr>
          <w:b/>
          <w:vertAlign w:val="subscript"/>
        </w:rPr>
        <w:t>i</w:t>
      </w:r>
      <w:proofErr w:type="spellEnd"/>
      <w:r w:rsidR="00504A0B" w:rsidRPr="00EF0633">
        <w:rPr>
          <w:b/>
        </w:rPr>
        <w:t xml:space="preserve"> </w:t>
      </w:r>
      <w:r w:rsidR="00504A0B">
        <w:rPr>
          <w:b/>
        </w:rPr>
        <w:t xml:space="preserve">DMRS </w:t>
      </w:r>
      <w:r w:rsidR="005544F4" w:rsidRPr="00EF0633">
        <w:rPr>
          <w:b/>
        </w:rPr>
        <w:t xml:space="preserve">/ </w:t>
      </w:r>
      <w:r w:rsidR="00504A0B" w:rsidRPr="00504A0B">
        <w:rPr>
          <w:b/>
        </w:rPr>
        <w:t>EPRE ratio of OCNG to OCNG DMRS</w:t>
      </w:r>
      <w:r w:rsidR="005544F4" w:rsidRPr="00EF0633">
        <w:rPr>
          <w:b/>
        </w:rPr>
        <w:t>.</w:t>
      </w:r>
    </w:p>
    <w:p w14:paraId="074DB10B" w14:textId="77777777" w:rsidR="00933FCB" w:rsidRPr="005544F4" w:rsidRDefault="00933FCB" w:rsidP="00933FCB"/>
    <w:p w14:paraId="56DB75F0" w14:textId="504F5834" w:rsidR="009A182F" w:rsidRDefault="009A182F" w:rsidP="009A182F">
      <w:pPr>
        <w:pStyle w:val="Heading1"/>
      </w:pPr>
      <w:r>
        <w:t>3</w:t>
      </w:r>
      <w:r>
        <w:tab/>
        <w:t>Conclusion</w:t>
      </w:r>
    </w:p>
    <w:p w14:paraId="263670CF" w14:textId="77777777" w:rsidR="00174059" w:rsidRPr="003F1C7F" w:rsidRDefault="00174059" w:rsidP="00174059">
      <w:pPr>
        <w:rPr>
          <w:b/>
        </w:rPr>
      </w:pPr>
      <w:r w:rsidRPr="003F1C7F">
        <w:rPr>
          <w:b/>
        </w:rPr>
        <w:t>Proposal 1: RAN4 will specify the DL power allocation as follow:</w:t>
      </w:r>
    </w:p>
    <w:p w14:paraId="11928E11" w14:textId="77777777" w:rsidR="00174059" w:rsidRPr="003F1C7F" w:rsidRDefault="00174059" w:rsidP="00174059">
      <w:pPr>
        <w:pStyle w:val="ListParagraph"/>
        <w:numPr>
          <w:ilvl w:val="0"/>
          <w:numId w:val="33"/>
        </w:numPr>
        <w:rPr>
          <w:b/>
        </w:rPr>
      </w:pPr>
      <w:r w:rsidRPr="003F1C7F">
        <w:rPr>
          <w:b/>
        </w:rPr>
        <w:t>EPRE of PBCH DMRS, PDCCH DMRS, PDSCH DMRS, OCNG DMRS, PSS, and NZP-CSI-RS are set relative to SSS EPRE</w:t>
      </w:r>
    </w:p>
    <w:p w14:paraId="3E60E5FC" w14:textId="77777777" w:rsidR="00174059" w:rsidRPr="003F1C7F" w:rsidRDefault="00174059" w:rsidP="00174059">
      <w:pPr>
        <w:pStyle w:val="ListParagraph"/>
        <w:numPr>
          <w:ilvl w:val="0"/>
          <w:numId w:val="33"/>
        </w:numPr>
        <w:rPr>
          <w:b/>
        </w:rPr>
      </w:pPr>
      <w:r w:rsidRPr="003F1C7F">
        <w:rPr>
          <w:b/>
        </w:rPr>
        <w:t>EPRE of physical channels (PBCH, PDCCH, PDSCH, OCNG) are set relative to the EPRE of associated DMRS (e.g., PD</w:t>
      </w:r>
      <w:r>
        <w:rPr>
          <w:b/>
        </w:rPr>
        <w:t>S</w:t>
      </w:r>
      <w:r w:rsidRPr="003F1C7F">
        <w:rPr>
          <w:b/>
        </w:rPr>
        <w:t>CH to PDSCH DMRS)</w:t>
      </w:r>
    </w:p>
    <w:p w14:paraId="6E9FA469" w14:textId="6571E23C" w:rsidR="00EF0633" w:rsidRDefault="00EF0633" w:rsidP="00EF0633">
      <w:pPr>
        <w:pStyle w:val="PlainText"/>
        <w:rPr>
          <w:b/>
        </w:rPr>
      </w:pPr>
      <w:r w:rsidRPr="00EF0633">
        <w:rPr>
          <w:b/>
        </w:rPr>
        <w:t>Proposal 2: OC</w:t>
      </w:r>
      <w:r w:rsidR="000952E2">
        <w:rPr>
          <w:b/>
        </w:rPr>
        <w:t>NG</w:t>
      </w:r>
      <w:r w:rsidRPr="00EF0633">
        <w:rPr>
          <w:b/>
        </w:rPr>
        <w:t xml:space="preserve"> relative power level of the i-</w:t>
      </w:r>
      <w:proofErr w:type="spellStart"/>
      <w:r w:rsidRPr="00EF0633">
        <w:rPr>
          <w:b/>
        </w:rPr>
        <w:t>th</w:t>
      </w:r>
      <w:proofErr w:type="spellEnd"/>
      <w:r w:rsidRPr="00EF0633">
        <w:rPr>
          <w:b/>
        </w:rPr>
        <w:t xml:space="preserve"> virtual UE is defined as </w:t>
      </w:r>
      <w:proofErr w:type="spellStart"/>
      <w:r w:rsidRPr="00EF0633">
        <w:rPr>
          <w:b/>
        </w:rPr>
        <w:t>γ</w:t>
      </w:r>
      <w:r w:rsidRPr="00EF0633">
        <w:rPr>
          <w:b/>
          <w:vertAlign w:val="subscript"/>
        </w:rPr>
        <w:t>i</w:t>
      </w:r>
      <w:proofErr w:type="spellEnd"/>
      <w:r w:rsidRPr="00EF0633">
        <w:rPr>
          <w:b/>
        </w:rPr>
        <w:t xml:space="preserve"> = </w:t>
      </w:r>
      <w:proofErr w:type="spellStart"/>
      <w:r w:rsidRPr="00EF0633">
        <w:rPr>
          <w:b/>
        </w:rPr>
        <w:t>PDSCH</w:t>
      </w:r>
      <w:r w:rsidRPr="00EF0633">
        <w:rPr>
          <w:b/>
          <w:vertAlign w:val="subscript"/>
        </w:rPr>
        <w:t>i</w:t>
      </w:r>
      <w:proofErr w:type="spellEnd"/>
      <w:r w:rsidRPr="00EF0633">
        <w:rPr>
          <w:b/>
        </w:rPr>
        <w:t xml:space="preserve"> EPRE / OCNG EPRE.</w:t>
      </w:r>
    </w:p>
    <w:p w14:paraId="3480AB05" w14:textId="39E88B74" w:rsidR="00A90ACA" w:rsidRPr="00A90ACA" w:rsidRDefault="00A90ACA" w:rsidP="00EF0633">
      <w:pPr>
        <w:pStyle w:val="PlainText"/>
      </w:pPr>
    </w:p>
    <w:p w14:paraId="390ECC25" w14:textId="61FDD5B6" w:rsidR="005A782E" w:rsidRPr="007134C2" w:rsidRDefault="005A782E" w:rsidP="005A782E">
      <w:pPr>
        <w:pStyle w:val="Heading1"/>
        <w:rPr>
          <w:lang w:val="en-US"/>
        </w:rPr>
      </w:pPr>
      <w:r w:rsidRPr="007134C2">
        <w:rPr>
          <w:lang w:val="en-US"/>
        </w:rPr>
        <w:t>References</w:t>
      </w:r>
    </w:p>
    <w:p w14:paraId="61FC8F0A" w14:textId="2721CE13" w:rsidR="005A782E" w:rsidRDefault="00CC7056" w:rsidP="005A782E">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508638450"/>
      <w:bookmarkStart w:id="9" w:name="_Ref516846373"/>
      <w:r w:rsidRPr="007134C2">
        <w:t>3GPP TS 38.21</w:t>
      </w:r>
      <w:r w:rsidR="004A5B99">
        <w:t>4</w:t>
      </w:r>
      <w:r w:rsidR="005A782E" w:rsidRPr="007134C2">
        <w:t xml:space="preserve">, </w:t>
      </w:r>
      <w:bookmarkStart w:id="10" w:name="_Ref510209161"/>
      <w:bookmarkStart w:id="11" w:name="_Ref510782480"/>
      <w:bookmarkEnd w:id="8"/>
      <w:r w:rsidR="008508DD" w:rsidRPr="007134C2">
        <w:t>“</w:t>
      </w:r>
      <w:r w:rsidRPr="007134C2">
        <w:t xml:space="preserve">NR; Physical layer procedures for </w:t>
      </w:r>
      <w:r w:rsidR="00007B0C">
        <w:t>data</w:t>
      </w:r>
      <w:r w:rsidR="008508DD" w:rsidRPr="007134C2">
        <w:t>”.</w:t>
      </w:r>
      <w:bookmarkEnd w:id="9"/>
      <w:bookmarkEnd w:id="10"/>
      <w:bookmarkEnd w:id="11"/>
    </w:p>
    <w:p w14:paraId="2A13C885" w14:textId="49CB1029" w:rsidR="00596B77" w:rsidRDefault="00596B77" w:rsidP="005A782E">
      <w:pPr>
        <w:pStyle w:val="ListParagraph"/>
        <w:numPr>
          <w:ilvl w:val="0"/>
          <w:numId w:val="19"/>
        </w:numPr>
        <w:overflowPunct w:val="0"/>
        <w:autoSpaceDE w:val="0"/>
        <w:autoSpaceDN w:val="0"/>
        <w:adjustRightInd w:val="0"/>
        <w:spacing w:after="180" w:line="240" w:lineRule="auto"/>
        <w:ind w:left="450" w:hanging="450"/>
        <w:contextualSpacing/>
        <w:textAlignment w:val="baseline"/>
      </w:pPr>
      <w:r>
        <w:t>3GPP TS 38.211. “NR; Physical channels and modulation”.</w:t>
      </w:r>
    </w:p>
    <w:p w14:paraId="3B6C347D" w14:textId="77777777" w:rsidR="00741EE7" w:rsidRDefault="00741EE7" w:rsidP="00741EE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2" w:name="_Ref517702416"/>
      <w:r>
        <w:t>3GPP TS 38.213. “NR; Physical layer procedures for control”.</w:t>
      </w:r>
      <w:bookmarkEnd w:id="12"/>
    </w:p>
    <w:p w14:paraId="0E37BF87" w14:textId="2D4CC1EC" w:rsidR="004A5B99" w:rsidRPr="007134C2" w:rsidRDefault="0002504D" w:rsidP="005A782E">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3" w:name="_Ref517703445"/>
      <w:r>
        <w:t>3GPP TS 38.133, “NR; Requirements for support of radio resource management”.</w:t>
      </w:r>
      <w:bookmarkEnd w:id="13"/>
    </w:p>
    <w:sectPr w:rsidR="004A5B99" w:rsidRPr="007134C2"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95C5" w14:textId="77777777" w:rsidR="006E7218" w:rsidRDefault="006E7218">
      <w:pPr>
        <w:spacing w:after="0"/>
      </w:pPr>
      <w:r>
        <w:separator/>
      </w:r>
    </w:p>
  </w:endnote>
  <w:endnote w:type="continuationSeparator" w:id="0">
    <w:p w14:paraId="71B5E065" w14:textId="77777777" w:rsidR="006E7218" w:rsidRDefault="006E7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20A" w14:textId="77777777" w:rsidR="006E7218" w:rsidRDefault="006E7218">
      <w:pPr>
        <w:spacing w:after="0"/>
      </w:pPr>
      <w:r>
        <w:separator/>
      </w:r>
    </w:p>
  </w:footnote>
  <w:footnote w:type="continuationSeparator" w:id="0">
    <w:p w14:paraId="5865E2D9" w14:textId="77777777" w:rsidR="006E7218" w:rsidRDefault="006E7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C954AF"/>
    <w:multiLevelType w:val="hybridMultilevel"/>
    <w:tmpl w:val="1F86C550"/>
    <w:lvl w:ilvl="0" w:tplc="D2FE1626">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27C00"/>
    <w:multiLevelType w:val="hybridMultilevel"/>
    <w:tmpl w:val="0D2238C0"/>
    <w:lvl w:ilvl="0" w:tplc="8B581398">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27C"/>
    <w:multiLevelType w:val="hybridMultilevel"/>
    <w:tmpl w:val="7486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316C2D"/>
    <w:multiLevelType w:val="hybridMultilevel"/>
    <w:tmpl w:val="9E6075B4"/>
    <w:lvl w:ilvl="0" w:tplc="B312565C">
      <w:start w:val="2"/>
      <w:numFmt w:val="bullet"/>
      <w:lvlText w:val=""/>
      <w:lvlJc w:val="left"/>
      <w:pPr>
        <w:ind w:left="720" w:hanging="360"/>
      </w:pPr>
      <w:rPr>
        <w:rFonts w:ascii="Symbol" w:eastAsia="ＭＳ 明朝" w:hAnsi="Symbol" w:cstheme="minorBid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2"/>
  </w:num>
  <w:num w:numId="2">
    <w:abstractNumId w:val="26"/>
  </w:num>
  <w:num w:numId="3">
    <w:abstractNumId w:val="18"/>
  </w:num>
  <w:num w:numId="4">
    <w:abstractNumId w:val="17"/>
  </w:num>
  <w:num w:numId="5">
    <w:abstractNumId w:val="11"/>
  </w:num>
  <w:num w:numId="6">
    <w:abstractNumId w:val="29"/>
  </w:num>
  <w:num w:numId="7">
    <w:abstractNumId w:val="3"/>
  </w:num>
  <w:num w:numId="8">
    <w:abstractNumId w:val="4"/>
  </w:num>
  <w:num w:numId="9">
    <w:abstractNumId w:val="22"/>
  </w:num>
  <w:num w:numId="10">
    <w:abstractNumId w:val="20"/>
  </w:num>
  <w:num w:numId="11">
    <w:abstractNumId w:val="31"/>
  </w:num>
  <w:num w:numId="12">
    <w:abstractNumId w:val="21"/>
  </w:num>
  <w:num w:numId="13">
    <w:abstractNumId w:val="25"/>
  </w:num>
  <w:num w:numId="14">
    <w:abstractNumId w:val="5"/>
  </w:num>
  <w:num w:numId="15">
    <w:abstractNumId w:val="14"/>
  </w:num>
  <w:num w:numId="16">
    <w:abstractNumId w:val="15"/>
  </w:num>
  <w:num w:numId="17">
    <w:abstractNumId w:val="10"/>
  </w:num>
  <w:num w:numId="18">
    <w:abstractNumId w:val="2"/>
  </w:num>
  <w:num w:numId="19">
    <w:abstractNumId w:val="23"/>
  </w:num>
  <w:num w:numId="20">
    <w:abstractNumId w:val="28"/>
  </w:num>
  <w:num w:numId="21">
    <w:abstractNumId w:val="1"/>
  </w:num>
  <w:num w:numId="22">
    <w:abstractNumId w:val="19"/>
  </w:num>
  <w:num w:numId="23">
    <w:abstractNumId w:val="8"/>
  </w:num>
  <w:num w:numId="24">
    <w:abstractNumId w:val="13"/>
  </w:num>
  <w:num w:numId="25">
    <w:abstractNumId w:val="30"/>
  </w:num>
  <w:num w:numId="26">
    <w:abstractNumId w:val="27"/>
  </w:num>
  <w:num w:numId="27">
    <w:abstractNumId w:val="0"/>
  </w:num>
  <w:num w:numId="28">
    <w:abstractNumId w:val="9"/>
  </w:num>
  <w:num w:numId="29">
    <w:abstractNumId w:val="16"/>
  </w:num>
  <w:num w:numId="30">
    <w:abstractNumId w:val="24"/>
  </w:num>
  <w:num w:numId="31">
    <w:abstractNumId w:val="7"/>
  </w:num>
  <w:num w:numId="32">
    <w:abstractNumId w:val="6"/>
  </w:num>
  <w:num w:numId="3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830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B0C"/>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04D"/>
    <w:rsid w:val="00025547"/>
    <w:rsid w:val="00025DD5"/>
    <w:rsid w:val="000266DE"/>
    <w:rsid w:val="00026800"/>
    <w:rsid w:val="00026CBB"/>
    <w:rsid w:val="00027EED"/>
    <w:rsid w:val="00031048"/>
    <w:rsid w:val="00032430"/>
    <w:rsid w:val="00032519"/>
    <w:rsid w:val="0003435F"/>
    <w:rsid w:val="00034622"/>
    <w:rsid w:val="0003548C"/>
    <w:rsid w:val="000358A0"/>
    <w:rsid w:val="000363EA"/>
    <w:rsid w:val="00036646"/>
    <w:rsid w:val="00036E73"/>
    <w:rsid w:val="000374C6"/>
    <w:rsid w:val="00041B14"/>
    <w:rsid w:val="0004248E"/>
    <w:rsid w:val="000436AB"/>
    <w:rsid w:val="00044ED8"/>
    <w:rsid w:val="0004541B"/>
    <w:rsid w:val="00045494"/>
    <w:rsid w:val="000456A6"/>
    <w:rsid w:val="000463C2"/>
    <w:rsid w:val="000479C3"/>
    <w:rsid w:val="0005017E"/>
    <w:rsid w:val="0005034B"/>
    <w:rsid w:val="000514B0"/>
    <w:rsid w:val="000524B3"/>
    <w:rsid w:val="00052E7F"/>
    <w:rsid w:val="000541FE"/>
    <w:rsid w:val="0005420D"/>
    <w:rsid w:val="000552F1"/>
    <w:rsid w:val="00056B00"/>
    <w:rsid w:val="00056C61"/>
    <w:rsid w:val="00056D22"/>
    <w:rsid w:val="00057513"/>
    <w:rsid w:val="000579EF"/>
    <w:rsid w:val="00057A6E"/>
    <w:rsid w:val="00057F51"/>
    <w:rsid w:val="00062363"/>
    <w:rsid w:val="00062C13"/>
    <w:rsid w:val="0006318B"/>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151"/>
    <w:rsid w:val="0007288B"/>
    <w:rsid w:val="00074642"/>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2E2"/>
    <w:rsid w:val="00095E74"/>
    <w:rsid w:val="000964C1"/>
    <w:rsid w:val="000968A7"/>
    <w:rsid w:val="00096D4C"/>
    <w:rsid w:val="00096D84"/>
    <w:rsid w:val="000977F1"/>
    <w:rsid w:val="000979B3"/>
    <w:rsid w:val="000A0AC8"/>
    <w:rsid w:val="000A2152"/>
    <w:rsid w:val="000A2A4C"/>
    <w:rsid w:val="000A2C2A"/>
    <w:rsid w:val="000A399D"/>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C6D"/>
    <w:rsid w:val="000D2D53"/>
    <w:rsid w:val="000D2E4D"/>
    <w:rsid w:val="000D3078"/>
    <w:rsid w:val="000D374C"/>
    <w:rsid w:val="000D42AA"/>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0BC5"/>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5C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059"/>
    <w:rsid w:val="00174F8B"/>
    <w:rsid w:val="001751CC"/>
    <w:rsid w:val="00175577"/>
    <w:rsid w:val="00175723"/>
    <w:rsid w:val="00176AAA"/>
    <w:rsid w:val="00177DDF"/>
    <w:rsid w:val="00177E54"/>
    <w:rsid w:val="00177EDD"/>
    <w:rsid w:val="00182186"/>
    <w:rsid w:val="00182D90"/>
    <w:rsid w:val="00182F13"/>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4BE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5F98"/>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5FA2"/>
    <w:rsid w:val="001D64D3"/>
    <w:rsid w:val="001D6830"/>
    <w:rsid w:val="001D6C48"/>
    <w:rsid w:val="001D6D25"/>
    <w:rsid w:val="001D7964"/>
    <w:rsid w:val="001D7E0A"/>
    <w:rsid w:val="001E0581"/>
    <w:rsid w:val="001E05E0"/>
    <w:rsid w:val="001E0A07"/>
    <w:rsid w:val="001E0B83"/>
    <w:rsid w:val="001E2A10"/>
    <w:rsid w:val="001E2DC8"/>
    <w:rsid w:val="001E3879"/>
    <w:rsid w:val="001E4638"/>
    <w:rsid w:val="001E4804"/>
    <w:rsid w:val="001E54DA"/>
    <w:rsid w:val="001E5B38"/>
    <w:rsid w:val="001E5DCB"/>
    <w:rsid w:val="001E6DF9"/>
    <w:rsid w:val="001E70AA"/>
    <w:rsid w:val="001E76D0"/>
    <w:rsid w:val="001F0308"/>
    <w:rsid w:val="001F046D"/>
    <w:rsid w:val="001F0CE0"/>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01D"/>
    <w:rsid w:val="002121E5"/>
    <w:rsid w:val="002124FA"/>
    <w:rsid w:val="0021287F"/>
    <w:rsid w:val="00212E27"/>
    <w:rsid w:val="00212EC8"/>
    <w:rsid w:val="00212F28"/>
    <w:rsid w:val="00213A09"/>
    <w:rsid w:val="00213DAA"/>
    <w:rsid w:val="00213E29"/>
    <w:rsid w:val="00213F44"/>
    <w:rsid w:val="00214CEB"/>
    <w:rsid w:val="00215968"/>
    <w:rsid w:val="0021635E"/>
    <w:rsid w:val="00216397"/>
    <w:rsid w:val="00217675"/>
    <w:rsid w:val="002178A6"/>
    <w:rsid w:val="00220E05"/>
    <w:rsid w:val="0022112F"/>
    <w:rsid w:val="0022169B"/>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958"/>
    <w:rsid w:val="002C1AAB"/>
    <w:rsid w:val="002C2746"/>
    <w:rsid w:val="002C28AC"/>
    <w:rsid w:val="002C2E4F"/>
    <w:rsid w:val="002C32BD"/>
    <w:rsid w:val="002C3EBC"/>
    <w:rsid w:val="002C45EB"/>
    <w:rsid w:val="002C4A53"/>
    <w:rsid w:val="002C4C83"/>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C27"/>
    <w:rsid w:val="002F2FB3"/>
    <w:rsid w:val="002F3283"/>
    <w:rsid w:val="002F365D"/>
    <w:rsid w:val="002F3DAA"/>
    <w:rsid w:val="002F453E"/>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801"/>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33C"/>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A39"/>
    <w:rsid w:val="00345B5B"/>
    <w:rsid w:val="003462E0"/>
    <w:rsid w:val="0034694F"/>
    <w:rsid w:val="003469CB"/>
    <w:rsid w:val="003474DF"/>
    <w:rsid w:val="0035062F"/>
    <w:rsid w:val="00350A6A"/>
    <w:rsid w:val="003513F1"/>
    <w:rsid w:val="00351690"/>
    <w:rsid w:val="00351EA7"/>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3B08"/>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E11"/>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8BA"/>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2A5D"/>
    <w:rsid w:val="003B3525"/>
    <w:rsid w:val="003B392D"/>
    <w:rsid w:val="003B43D6"/>
    <w:rsid w:val="003B4927"/>
    <w:rsid w:val="003B4B61"/>
    <w:rsid w:val="003B518B"/>
    <w:rsid w:val="003B6626"/>
    <w:rsid w:val="003B6859"/>
    <w:rsid w:val="003B6EDF"/>
    <w:rsid w:val="003B70A0"/>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1C7F"/>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513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6D8"/>
    <w:rsid w:val="00430AD7"/>
    <w:rsid w:val="00430C8D"/>
    <w:rsid w:val="00430F7F"/>
    <w:rsid w:val="00431993"/>
    <w:rsid w:val="00431ADE"/>
    <w:rsid w:val="00431B1E"/>
    <w:rsid w:val="00431D8B"/>
    <w:rsid w:val="00432366"/>
    <w:rsid w:val="00432D0B"/>
    <w:rsid w:val="00433650"/>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20E"/>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5B9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5C15"/>
    <w:rsid w:val="004B6609"/>
    <w:rsid w:val="004B6677"/>
    <w:rsid w:val="004B7534"/>
    <w:rsid w:val="004B7980"/>
    <w:rsid w:val="004C19AE"/>
    <w:rsid w:val="004C1A9D"/>
    <w:rsid w:val="004C2B2E"/>
    <w:rsid w:val="004C2E99"/>
    <w:rsid w:val="004C3C09"/>
    <w:rsid w:val="004C52E6"/>
    <w:rsid w:val="004C5729"/>
    <w:rsid w:val="004C57B7"/>
    <w:rsid w:val="004C5AE4"/>
    <w:rsid w:val="004C60F1"/>
    <w:rsid w:val="004C682A"/>
    <w:rsid w:val="004C79D7"/>
    <w:rsid w:val="004C7F5E"/>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4E0"/>
    <w:rsid w:val="004D6F88"/>
    <w:rsid w:val="004D7AD2"/>
    <w:rsid w:val="004E0401"/>
    <w:rsid w:val="004E0D93"/>
    <w:rsid w:val="004E0E35"/>
    <w:rsid w:val="004E0E41"/>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2DD"/>
    <w:rsid w:val="00502B79"/>
    <w:rsid w:val="00502DD5"/>
    <w:rsid w:val="00503316"/>
    <w:rsid w:val="00503A04"/>
    <w:rsid w:val="005048E5"/>
    <w:rsid w:val="00504A0B"/>
    <w:rsid w:val="00505F80"/>
    <w:rsid w:val="005061F6"/>
    <w:rsid w:val="00506384"/>
    <w:rsid w:val="005071B7"/>
    <w:rsid w:val="005071CC"/>
    <w:rsid w:val="0050770E"/>
    <w:rsid w:val="00510778"/>
    <w:rsid w:val="00511185"/>
    <w:rsid w:val="00511220"/>
    <w:rsid w:val="00511EB5"/>
    <w:rsid w:val="00512B07"/>
    <w:rsid w:val="005138EF"/>
    <w:rsid w:val="00513D14"/>
    <w:rsid w:val="005141E6"/>
    <w:rsid w:val="005143A1"/>
    <w:rsid w:val="0051443F"/>
    <w:rsid w:val="005144F3"/>
    <w:rsid w:val="005146C1"/>
    <w:rsid w:val="00514A82"/>
    <w:rsid w:val="00514D38"/>
    <w:rsid w:val="00515071"/>
    <w:rsid w:val="00515D05"/>
    <w:rsid w:val="005164DD"/>
    <w:rsid w:val="00516EA4"/>
    <w:rsid w:val="00516F98"/>
    <w:rsid w:val="00517447"/>
    <w:rsid w:val="005179F3"/>
    <w:rsid w:val="00517C79"/>
    <w:rsid w:val="00517CD2"/>
    <w:rsid w:val="005204CD"/>
    <w:rsid w:val="005204F9"/>
    <w:rsid w:val="00520892"/>
    <w:rsid w:val="00520B60"/>
    <w:rsid w:val="00520B77"/>
    <w:rsid w:val="00520BEA"/>
    <w:rsid w:val="005211D3"/>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F4D"/>
    <w:rsid w:val="00544E01"/>
    <w:rsid w:val="0054527E"/>
    <w:rsid w:val="00545F5D"/>
    <w:rsid w:val="005469AB"/>
    <w:rsid w:val="005479AE"/>
    <w:rsid w:val="00547B03"/>
    <w:rsid w:val="00547E51"/>
    <w:rsid w:val="00547F7A"/>
    <w:rsid w:val="005518F6"/>
    <w:rsid w:val="00552B2C"/>
    <w:rsid w:val="005533D4"/>
    <w:rsid w:val="00553E31"/>
    <w:rsid w:val="00553FEF"/>
    <w:rsid w:val="0055420E"/>
    <w:rsid w:val="005544F4"/>
    <w:rsid w:val="00554E1C"/>
    <w:rsid w:val="0055554D"/>
    <w:rsid w:val="00555901"/>
    <w:rsid w:val="00555BA1"/>
    <w:rsid w:val="00556368"/>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87B97"/>
    <w:rsid w:val="005901DB"/>
    <w:rsid w:val="005904E0"/>
    <w:rsid w:val="0059127D"/>
    <w:rsid w:val="00591645"/>
    <w:rsid w:val="00591F24"/>
    <w:rsid w:val="00592319"/>
    <w:rsid w:val="0059321E"/>
    <w:rsid w:val="00593296"/>
    <w:rsid w:val="0059399E"/>
    <w:rsid w:val="00593A00"/>
    <w:rsid w:val="00593C3A"/>
    <w:rsid w:val="00594060"/>
    <w:rsid w:val="0059489B"/>
    <w:rsid w:val="00595398"/>
    <w:rsid w:val="005963D8"/>
    <w:rsid w:val="005965F7"/>
    <w:rsid w:val="00596B7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2969"/>
    <w:rsid w:val="005D29AB"/>
    <w:rsid w:val="005D3840"/>
    <w:rsid w:val="005D40BB"/>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091"/>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F2B"/>
    <w:rsid w:val="0062185C"/>
    <w:rsid w:val="00621B05"/>
    <w:rsid w:val="00621C3A"/>
    <w:rsid w:val="00622ACC"/>
    <w:rsid w:val="0062357C"/>
    <w:rsid w:val="00623C6C"/>
    <w:rsid w:val="00624744"/>
    <w:rsid w:val="006253EA"/>
    <w:rsid w:val="00625883"/>
    <w:rsid w:val="006258A5"/>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3C4"/>
    <w:rsid w:val="00637DE5"/>
    <w:rsid w:val="00637E12"/>
    <w:rsid w:val="006406F7"/>
    <w:rsid w:val="006409AF"/>
    <w:rsid w:val="00640A84"/>
    <w:rsid w:val="00640C8D"/>
    <w:rsid w:val="00640F45"/>
    <w:rsid w:val="006413BC"/>
    <w:rsid w:val="00641745"/>
    <w:rsid w:val="00643740"/>
    <w:rsid w:val="006446ED"/>
    <w:rsid w:val="006451A3"/>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1E10"/>
    <w:rsid w:val="00662272"/>
    <w:rsid w:val="00662FA1"/>
    <w:rsid w:val="006630F7"/>
    <w:rsid w:val="006639EF"/>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0DC"/>
    <w:rsid w:val="0068197A"/>
    <w:rsid w:val="00681D80"/>
    <w:rsid w:val="00681FE4"/>
    <w:rsid w:val="00681FF8"/>
    <w:rsid w:val="00682873"/>
    <w:rsid w:val="006828F0"/>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4AB6"/>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BC8"/>
    <w:rsid w:val="006A5E35"/>
    <w:rsid w:val="006A6BCC"/>
    <w:rsid w:val="006A6D47"/>
    <w:rsid w:val="006A705B"/>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20"/>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B29"/>
    <w:rsid w:val="006E6E80"/>
    <w:rsid w:val="006E7218"/>
    <w:rsid w:val="006E744C"/>
    <w:rsid w:val="006E7853"/>
    <w:rsid w:val="006F079F"/>
    <w:rsid w:val="006F081C"/>
    <w:rsid w:val="006F18DF"/>
    <w:rsid w:val="006F1DA5"/>
    <w:rsid w:val="006F1EBB"/>
    <w:rsid w:val="006F1F6A"/>
    <w:rsid w:val="006F21C8"/>
    <w:rsid w:val="006F2458"/>
    <w:rsid w:val="006F26B7"/>
    <w:rsid w:val="006F2810"/>
    <w:rsid w:val="006F298A"/>
    <w:rsid w:val="006F29AB"/>
    <w:rsid w:val="006F34BC"/>
    <w:rsid w:val="006F3EDD"/>
    <w:rsid w:val="006F4A55"/>
    <w:rsid w:val="006F4BE4"/>
    <w:rsid w:val="006F5409"/>
    <w:rsid w:val="006F5D0D"/>
    <w:rsid w:val="007016D4"/>
    <w:rsid w:val="00701A77"/>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2296"/>
    <w:rsid w:val="007134C2"/>
    <w:rsid w:val="00713715"/>
    <w:rsid w:val="00714F95"/>
    <w:rsid w:val="0071642C"/>
    <w:rsid w:val="00716622"/>
    <w:rsid w:val="00716719"/>
    <w:rsid w:val="0071710D"/>
    <w:rsid w:val="00717214"/>
    <w:rsid w:val="007172AD"/>
    <w:rsid w:val="0072047E"/>
    <w:rsid w:val="007207EE"/>
    <w:rsid w:val="00721B6B"/>
    <w:rsid w:val="00722B62"/>
    <w:rsid w:val="007232D5"/>
    <w:rsid w:val="00723A52"/>
    <w:rsid w:val="00723A5B"/>
    <w:rsid w:val="00724A42"/>
    <w:rsid w:val="00725CEA"/>
    <w:rsid w:val="00726683"/>
    <w:rsid w:val="0072683D"/>
    <w:rsid w:val="00726B9A"/>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280"/>
    <w:rsid w:val="007404C1"/>
    <w:rsid w:val="00740548"/>
    <w:rsid w:val="007412AD"/>
    <w:rsid w:val="00741752"/>
    <w:rsid w:val="00741EE7"/>
    <w:rsid w:val="007420A4"/>
    <w:rsid w:val="007420FD"/>
    <w:rsid w:val="00742DDC"/>
    <w:rsid w:val="0074337F"/>
    <w:rsid w:val="007434CC"/>
    <w:rsid w:val="00743707"/>
    <w:rsid w:val="00743733"/>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1E0F"/>
    <w:rsid w:val="00752BB2"/>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2AE"/>
    <w:rsid w:val="007814ED"/>
    <w:rsid w:val="007832DE"/>
    <w:rsid w:val="0078511A"/>
    <w:rsid w:val="00786581"/>
    <w:rsid w:val="00786B03"/>
    <w:rsid w:val="007872B5"/>
    <w:rsid w:val="00787767"/>
    <w:rsid w:val="00787815"/>
    <w:rsid w:val="007907E7"/>
    <w:rsid w:val="00791AAD"/>
    <w:rsid w:val="00791D0C"/>
    <w:rsid w:val="00791D31"/>
    <w:rsid w:val="007920D4"/>
    <w:rsid w:val="00793785"/>
    <w:rsid w:val="00794042"/>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619"/>
    <w:rsid w:val="007C6B6C"/>
    <w:rsid w:val="007C6C3C"/>
    <w:rsid w:val="007C739D"/>
    <w:rsid w:val="007C78C1"/>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A6C"/>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4E55"/>
    <w:rsid w:val="007F5927"/>
    <w:rsid w:val="007F5BA3"/>
    <w:rsid w:val="007F62BC"/>
    <w:rsid w:val="007F662A"/>
    <w:rsid w:val="007F7991"/>
    <w:rsid w:val="007F7EDF"/>
    <w:rsid w:val="00800454"/>
    <w:rsid w:val="0080068C"/>
    <w:rsid w:val="00800C77"/>
    <w:rsid w:val="008013F4"/>
    <w:rsid w:val="008015B9"/>
    <w:rsid w:val="0080213F"/>
    <w:rsid w:val="0080218D"/>
    <w:rsid w:val="00802669"/>
    <w:rsid w:val="00802E4A"/>
    <w:rsid w:val="00804486"/>
    <w:rsid w:val="00804551"/>
    <w:rsid w:val="00804773"/>
    <w:rsid w:val="0080485A"/>
    <w:rsid w:val="00804937"/>
    <w:rsid w:val="00805723"/>
    <w:rsid w:val="00806692"/>
    <w:rsid w:val="00806C84"/>
    <w:rsid w:val="00807A2C"/>
    <w:rsid w:val="00807A33"/>
    <w:rsid w:val="00810061"/>
    <w:rsid w:val="008105A8"/>
    <w:rsid w:val="00811366"/>
    <w:rsid w:val="00812DE6"/>
    <w:rsid w:val="0081482E"/>
    <w:rsid w:val="00814BCC"/>
    <w:rsid w:val="00815688"/>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91A"/>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506F8"/>
    <w:rsid w:val="008508DD"/>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21E"/>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138F"/>
    <w:rsid w:val="008B3A4A"/>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0ABF"/>
    <w:rsid w:val="008E1F1E"/>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07065"/>
    <w:rsid w:val="009070AD"/>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3FCB"/>
    <w:rsid w:val="0093433B"/>
    <w:rsid w:val="009352D1"/>
    <w:rsid w:val="0093555E"/>
    <w:rsid w:val="0093592C"/>
    <w:rsid w:val="00935B38"/>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09F"/>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82F"/>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53B5"/>
    <w:rsid w:val="009B54DA"/>
    <w:rsid w:val="009B6A61"/>
    <w:rsid w:val="009B6E83"/>
    <w:rsid w:val="009B707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210"/>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9D9"/>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4A7"/>
    <w:rsid w:val="00A01700"/>
    <w:rsid w:val="00A01806"/>
    <w:rsid w:val="00A036F9"/>
    <w:rsid w:val="00A04422"/>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7534"/>
    <w:rsid w:val="00A31703"/>
    <w:rsid w:val="00A31FFD"/>
    <w:rsid w:val="00A32F43"/>
    <w:rsid w:val="00A354EA"/>
    <w:rsid w:val="00A35826"/>
    <w:rsid w:val="00A35C0E"/>
    <w:rsid w:val="00A3619E"/>
    <w:rsid w:val="00A3688D"/>
    <w:rsid w:val="00A40593"/>
    <w:rsid w:val="00A40CEF"/>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ACA"/>
    <w:rsid w:val="00A90FF1"/>
    <w:rsid w:val="00A91C6E"/>
    <w:rsid w:val="00A91E82"/>
    <w:rsid w:val="00A9283B"/>
    <w:rsid w:val="00A934EF"/>
    <w:rsid w:val="00A94413"/>
    <w:rsid w:val="00A945AD"/>
    <w:rsid w:val="00A94B65"/>
    <w:rsid w:val="00A94DD8"/>
    <w:rsid w:val="00A94E10"/>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CE9"/>
    <w:rsid w:val="00AD1F5B"/>
    <w:rsid w:val="00AD2247"/>
    <w:rsid w:val="00AD2A16"/>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E9F"/>
    <w:rsid w:val="00AF2460"/>
    <w:rsid w:val="00AF3171"/>
    <w:rsid w:val="00AF3A80"/>
    <w:rsid w:val="00AF4A26"/>
    <w:rsid w:val="00AF4D45"/>
    <w:rsid w:val="00AF4E4A"/>
    <w:rsid w:val="00AF5C47"/>
    <w:rsid w:val="00AF5E73"/>
    <w:rsid w:val="00AF61D3"/>
    <w:rsid w:val="00AF7042"/>
    <w:rsid w:val="00AF7157"/>
    <w:rsid w:val="00AF74CF"/>
    <w:rsid w:val="00AF76DF"/>
    <w:rsid w:val="00B001F9"/>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228"/>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49C"/>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1E15"/>
    <w:rsid w:val="00B42F7F"/>
    <w:rsid w:val="00B43191"/>
    <w:rsid w:val="00B432EF"/>
    <w:rsid w:val="00B44231"/>
    <w:rsid w:val="00B44C13"/>
    <w:rsid w:val="00B44DB1"/>
    <w:rsid w:val="00B462A2"/>
    <w:rsid w:val="00B52453"/>
    <w:rsid w:val="00B52C97"/>
    <w:rsid w:val="00B539AB"/>
    <w:rsid w:val="00B544EB"/>
    <w:rsid w:val="00B54688"/>
    <w:rsid w:val="00B549ED"/>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E19"/>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2DAC"/>
    <w:rsid w:val="00BB382B"/>
    <w:rsid w:val="00BB3B26"/>
    <w:rsid w:val="00BB41B8"/>
    <w:rsid w:val="00BB4710"/>
    <w:rsid w:val="00BB4BF3"/>
    <w:rsid w:val="00BB5DB9"/>
    <w:rsid w:val="00BB653F"/>
    <w:rsid w:val="00BB7549"/>
    <w:rsid w:val="00BB798E"/>
    <w:rsid w:val="00BB7D06"/>
    <w:rsid w:val="00BC078D"/>
    <w:rsid w:val="00BC0A33"/>
    <w:rsid w:val="00BC0F74"/>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4FBE"/>
    <w:rsid w:val="00BF57D5"/>
    <w:rsid w:val="00BF5962"/>
    <w:rsid w:val="00BF77A0"/>
    <w:rsid w:val="00BF7FB0"/>
    <w:rsid w:val="00C004F3"/>
    <w:rsid w:val="00C008B2"/>
    <w:rsid w:val="00C01592"/>
    <w:rsid w:val="00C01E18"/>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0D3D"/>
    <w:rsid w:val="00C3105D"/>
    <w:rsid w:val="00C318F1"/>
    <w:rsid w:val="00C32978"/>
    <w:rsid w:val="00C33F06"/>
    <w:rsid w:val="00C33F6C"/>
    <w:rsid w:val="00C3447C"/>
    <w:rsid w:val="00C34899"/>
    <w:rsid w:val="00C348CA"/>
    <w:rsid w:val="00C3501A"/>
    <w:rsid w:val="00C36157"/>
    <w:rsid w:val="00C36FA0"/>
    <w:rsid w:val="00C40210"/>
    <w:rsid w:val="00C41340"/>
    <w:rsid w:val="00C418E4"/>
    <w:rsid w:val="00C41C4D"/>
    <w:rsid w:val="00C41E38"/>
    <w:rsid w:val="00C42829"/>
    <w:rsid w:val="00C429F4"/>
    <w:rsid w:val="00C42C8B"/>
    <w:rsid w:val="00C42D64"/>
    <w:rsid w:val="00C441DF"/>
    <w:rsid w:val="00C445C6"/>
    <w:rsid w:val="00C45374"/>
    <w:rsid w:val="00C453B5"/>
    <w:rsid w:val="00C4654C"/>
    <w:rsid w:val="00C46691"/>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F6B"/>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622"/>
    <w:rsid w:val="00C97F6F"/>
    <w:rsid w:val="00CA06BC"/>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BF5"/>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9AD"/>
    <w:rsid w:val="00CC0D5D"/>
    <w:rsid w:val="00CC14B5"/>
    <w:rsid w:val="00CC192B"/>
    <w:rsid w:val="00CC1E64"/>
    <w:rsid w:val="00CC3700"/>
    <w:rsid w:val="00CC3CC4"/>
    <w:rsid w:val="00CC4079"/>
    <w:rsid w:val="00CC508C"/>
    <w:rsid w:val="00CC52FB"/>
    <w:rsid w:val="00CC55CE"/>
    <w:rsid w:val="00CC6C4C"/>
    <w:rsid w:val="00CC7056"/>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454"/>
    <w:rsid w:val="00CD682E"/>
    <w:rsid w:val="00CD79F5"/>
    <w:rsid w:val="00CD7CFB"/>
    <w:rsid w:val="00CE0845"/>
    <w:rsid w:val="00CE0BEF"/>
    <w:rsid w:val="00CE122C"/>
    <w:rsid w:val="00CE1B34"/>
    <w:rsid w:val="00CE2B3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95"/>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A22"/>
    <w:rsid w:val="00D20251"/>
    <w:rsid w:val="00D20D6D"/>
    <w:rsid w:val="00D210CF"/>
    <w:rsid w:val="00D21B9E"/>
    <w:rsid w:val="00D22060"/>
    <w:rsid w:val="00D22F7C"/>
    <w:rsid w:val="00D24238"/>
    <w:rsid w:val="00D24540"/>
    <w:rsid w:val="00D24858"/>
    <w:rsid w:val="00D24B40"/>
    <w:rsid w:val="00D24CA3"/>
    <w:rsid w:val="00D24D56"/>
    <w:rsid w:val="00D25556"/>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122"/>
    <w:rsid w:val="00D6444A"/>
    <w:rsid w:val="00D65852"/>
    <w:rsid w:val="00D65D1D"/>
    <w:rsid w:val="00D66053"/>
    <w:rsid w:val="00D6615D"/>
    <w:rsid w:val="00D66380"/>
    <w:rsid w:val="00D66546"/>
    <w:rsid w:val="00D70883"/>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394A"/>
    <w:rsid w:val="00D8424E"/>
    <w:rsid w:val="00D84284"/>
    <w:rsid w:val="00D84BEE"/>
    <w:rsid w:val="00D84DD9"/>
    <w:rsid w:val="00D85370"/>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19A"/>
    <w:rsid w:val="00DB1288"/>
    <w:rsid w:val="00DB13BD"/>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D63"/>
    <w:rsid w:val="00DF5745"/>
    <w:rsid w:val="00DF6003"/>
    <w:rsid w:val="00DF6027"/>
    <w:rsid w:val="00DF64F5"/>
    <w:rsid w:val="00DF6D6D"/>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164"/>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21"/>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2FE"/>
    <w:rsid w:val="00E6341D"/>
    <w:rsid w:val="00E634C4"/>
    <w:rsid w:val="00E63788"/>
    <w:rsid w:val="00E63F84"/>
    <w:rsid w:val="00E6485E"/>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807"/>
    <w:rsid w:val="00E80E27"/>
    <w:rsid w:val="00E8147B"/>
    <w:rsid w:val="00E835B2"/>
    <w:rsid w:val="00E86108"/>
    <w:rsid w:val="00E86921"/>
    <w:rsid w:val="00E86AF1"/>
    <w:rsid w:val="00E87A33"/>
    <w:rsid w:val="00E87AE3"/>
    <w:rsid w:val="00E91FB0"/>
    <w:rsid w:val="00E92079"/>
    <w:rsid w:val="00E92C32"/>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6FB5"/>
    <w:rsid w:val="00EA710F"/>
    <w:rsid w:val="00EA72D2"/>
    <w:rsid w:val="00EA7A3B"/>
    <w:rsid w:val="00EA7CE3"/>
    <w:rsid w:val="00EA7E6F"/>
    <w:rsid w:val="00EB0D09"/>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80"/>
    <w:rsid w:val="00EC5893"/>
    <w:rsid w:val="00EC5C1D"/>
    <w:rsid w:val="00EC6FAA"/>
    <w:rsid w:val="00ED0019"/>
    <w:rsid w:val="00ED050F"/>
    <w:rsid w:val="00ED0FF9"/>
    <w:rsid w:val="00ED14E1"/>
    <w:rsid w:val="00ED199E"/>
    <w:rsid w:val="00ED1A42"/>
    <w:rsid w:val="00ED1D4A"/>
    <w:rsid w:val="00ED23FC"/>
    <w:rsid w:val="00ED2424"/>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633"/>
    <w:rsid w:val="00EF08B4"/>
    <w:rsid w:val="00EF09F0"/>
    <w:rsid w:val="00EF0C72"/>
    <w:rsid w:val="00EF1220"/>
    <w:rsid w:val="00EF1788"/>
    <w:rsid w:val="00EF20FB"/>
    <w:rsid w:val="00EF22D3"/>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3680"/>
    <w:rsid w:val="00F03F69"/>
    <w:rsid w:val="00F046B3"/>
    <w:rsid w:val="00F0474C"/>
    <w:rsid w:val="00F0600E"/>
    <w:rsid w:val="00F06079"/>
    <w:rsid w:val="00F06E8F"/>
    <w:rsid w:val="00F10127"/>
    <w:rsid w:val="00F103CA"/>
    <w:rsid w:val="00F104CF"/>
    <w:rsid w:val="00F107AA"/>
    <w:rsid w:val="00F1089E"/>
    <w:rsid w:val="00F11327"/>
    <w:rsid w:val="00F11932"/>
    <w:rsid w:val="00F11C0E"/>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1811"/>
    <w:rsid w:val="00F2211F"/>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947"/>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2EEA"/>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655F"/>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6190"/>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55E"/>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355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5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styleId="PlainText">
    <w:name w:val="Plain Text"/>
    <w:basedOn w:val="Normal"/>
    <w:link w:val="PlainTextChar"/>
    <w:uiPriority w:val="99"/>
    <w:semiHidden/>
    <w:unhideWhenUsed/>
    <w:rsid w:val="005544F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544F4"/>
    <w:rPr>
      <w:rFonts w:ascii="Calibr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16666293">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24238332">
      <w:bodyDiv w:val="1"/>
      <w:marLeft w:val="0"/>
      <w:marRight w:val="0"/>
      <w:marTop w:val="0"/>
      <w:marBottom w:val="0"/>
      <w:divBdr>
        <w:top w:val="none" w:sz="0" w:space="0" w:color="auto"/>
        <w:left w:val="none" w:sz="0" w:space="0" w:color="auto"/>
        <w:bottom w:val="none" w:sz="0" w:space="0" w:color="auto"/>
        <w:right w:val="none" w:sz="0" w:space="0" w:color="auto"/>
      </w:divBdr>
      <w:divsChild>
        <w:div w:id="9643747">
          <w:marLeft w:val="360"/>
          <w:marRight w:val="0"/>
          <w:marTop w:val="200"/>
          <w:marBottom w:val="0"/>
          <w:divBdr>
            <w:top w:val="none" w:sz="0" w:space="0" w:color="auto"/>
            <w:left w:val="none" w:sz="0" w:space="0" w:color="auto"/>
            <w:bottom w:val="none" w:sz="0" w:space="0" w:color="auto"/>
            <w:right w:val="none" w:sz="0" w:space="0" w:color="auto"/>
          </w:divBdr>
        </w:div>
        <w:div w:id="1654601301">
          <w:marLeft w:val="1080"/>
          <w:marRight w:val="0"/>
          <w:marTop w:val="100"/>
          <w:marBottom w:val="0"/>
          <w:divBdr>
            <w:top w:val="none" w:sz="0" w:space="0" w:color="auto"/>
            <w:left w:val="none" w:sz="0" w:space="0" w:color="auto"/>
            <w:bottom w:val="none" w:sz="0" w:space="0" w:color="auto"/>
            <w:right w:val="none" w:sz="0" w:space="0" w:color="auto"/>
          </w:divBdr>
        </w:div>
        <w:div w:id="203913458">
          <w:marLeft w:val="1080"/>
          <w:marRight w:val="0"/>
          <w:marTop w:val="10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7273029">
      <w:bodyDiv w:val="1"/>
      <w:marLeft w:val="0"/>
      <w:marRight w:val="0"/>
      <w:marTop w:val="0"/>
      <w:marBottom w:val="0"/>
      <w:divBdr>
        <w:top w:val="none" w:sz="0" w:space="0" w:color="auto"/>
        <w:left w:val="none" w:sz="0" w:space="0" w:color="auto"/>
        <w:bottom w:val="none" w:sz="0" w:space="0" w:color="auto"/>
        <w:right w:val="none" w:sz="0" w:space="0" w:color="auto"/>
      </w:divBdr>
      <w:divsChild>
        <w:div w:id="356784442">
          <w:marLeft w:val="0"/>
          <w:marRight w:val="0"/>
          <w:marTop w:val="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3858475">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91E4EBA-E968-4555-B6C7-A0DE1A4B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1281</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2018-06-25T14:05:00Z</dcterms:modified>
</cp:coreProperties>
</file>